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6D670" w14:textId="7CFE38A8" w:rsidR="001D4688" w:rsidRDefault="003C3164">
      <w:pPr>
        <w:widowControl w:val="0"/>
        <w:pBdr>
          <w:top w:val="nil"/>
          <w:left w:val="nil"/>
          <w:bottom w:val="nil"/>
          <w:right w:val="nil"/>
          <w:between w:val="nil"/>
        </w:pBdr>
        <w:spacing w:after="0" w:line="276" w:lineRule="auto"/>
        <w:rPr>
          <w:rFonts w:ascii="Arial" w:eastAsia="Arial" w:hAnsi="Arial" w:cs="Arial"/>
          <w:color w:val="000000"/>
          <w:sz w:val="2"/>
          <w:szCs w:val="2"/>
        </w:rPr>
      </w:pPr>
      <w:r>
        <w:rPr>
          <w:b/>
          <w:color w:val="074976"/>
          <w:sz w:val="72"/>
          <w:szCs w:val="72"/>
        </w:rPr>
        <w:t>TECHNICAL MEMORANDUM</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5923"/>
        <w:gridCol w:w="2705"/>
      </w:tblGrid>
      <w:tr w:rsidR="006B35E0" w14:paraId="5765983C" w14:textId="7F7BE955" w:rsidTr="007C0279">
        <w:tc>
          <w:tcPr>
            <w:tcW w:w="1002" w:type="dxa"/>
          </w:tcPr>
          <w:p w14:paraId="4DEBF2CB" w14:textId="405BA801"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bookmarkStart w:id="0" w:name="_heading=h.dqplf7mnxt4a" w:colFirst="0" w:colLast="0"/>
            <w:bookmarkEnd w:id="0"/>
            <w:r w:rsidRPr="006B35E0">
              <w:rPr>
                <w:rFonts w:asciiTheme="minorHAnsi" w:hAnsiTheme="minorHAnsi" w:cstheme="minorHAnsi"/>
                <w:b w:val="0"/>
                <w:bCs w:val="0"/>
                <w:color w:val="auto"/>
                <w:sz w:val="24"/>
                <w:szCs w:val="24"/>
              </w:rPr>
              <w:t>Date:</w:t>
            </w:r>
          </w:p>
        </w:tc>
        <w:tc>
          <w:tcPr>
            <w:tcW w:w="5923" w:type="dxa"/>
            <w:tcBorders>
              <w:bottom w:val="single" w:sz="4" w:space="0" w:color="auto"/>
            </w:tcBorders>
          </w:tcPr>
          <w:p w14:paraId="6FCE4623" w14:textId="09C078D1" w:rsidR="006B35E0" w:rsidRPr="006B35E0" w:rsidRDefault="00F524D8"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November 1</w:t>
            </w:r>
            <w:r w:rsidR="00FE32FF">
              <w:rPr>
                <w:rFonts w:asciiTheme="minorHAnsi" w:hAnsiTheme="minorHAnsi" w:cstheme="minorHAnsi"/>
                <w:b w:val="0"/>
                <w:bCs w:val="0"/>
                <w:color w:val="auto"/>
                <w:sz w:val="24"/>
                <w:szCs w:val="24"/>
              </w:rPr>
              <w:t>,</w:t>
            </w:r>
            <w:r w:rsidR="006B35E0">
              <w:rPr>
                <w:rFonts w:asciiTheme="minorHAnsi" w:hAnsiTheme="minorHAnsi" w:cstheme="minorHAnsi"/>
                <w:b w:val="0"/>
                <w:bCs w:val="0"/>
                <w:color w:val="auto"/>
                <w:sz w:val="24"/>
                <w:szCs w:val="24"/>
              </w:rPr>
              <w:t xml:space="preserve"> 2024</w:t>
            </w:r>
          </w:p>
        </w:tc>
        <w:tc>
          <w:tcPr>
            <w:tcW w:w="2705" w:type="dxa"/>
          </w:tcPr>
          <w:p w14:paraId="4FB35FFC" w14:textId="055C0D14" w:rsidR="006B35E0" w:rsidRDefault="006B35E0" w:rsidP="006C7C2A">
            <w:pPr>
              <w:pStyle w:val="Heading3"/>
              <w:spacing w:before="60"/>
              <w:ind w:left="0" w:firstLine="0"/>
              <w:rPr>
                <w:rFonts w:asciiTheme="minorHAnsi" w:hAnsiTheme="minorHAnsi" w:cstheme="minorHAnsi"/>
                <w:b w:val="0"/>
                <w:bCs w:val="0"/>
                <w:color w:val="auto"/>
                <w:sz w:val="24"/>
                <w:szCs w:val="24"/>
              </w:rPr>
            </w:pPr>
          </w:p>
        </w:tc>
      </w:tr>
      <w:tr w:rsidR="006B35E0" w14:paraId="63F22644" w14:textId="2F761500" w:rsidTr="007C0279">
        <w:tc>
          <w:tcPr>
            <w:tcW w:w="1002" w:type="dxa"/>
          </w:tcPr>
          <w:p w14:paraId="6F8E28CF" w14:textId="243B7CAB"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To:</w:t>
            </w:r>
          </w:p>
        </w:tc>
        <w:tc>
          <w:tcPr>
            <w:tcW w:w="5923" w:type="dxa"/>
            <w:tcBorders>
              <w:top w:val="single" w:sz="4" w:space="0" w:color="auto"/>
              <w:bottom w:val="single" w:sz="4" w:space="0" w:color="auto"/>
            </w:tcBorders>
          </w:tcPr>
          <w:p w14:paraId="3BC0866F" w14:textId="22B7E5F2" w:rsidR="006B35E0" w:rsidRPr="006B35E0" w:rsidRDefault="009B1BEE"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Vina</w:t>
            </w:r>
            <w:r w:rsidR="006B35E0">
              <w:rPr>
                <w:rFonts w:asciiTheme="minorHAnsi" w:hAnsiTheme="minorHAnsi" w:cstheme="minorHAnsi"/>
                <w:b w:val="0"/>
                <w:bCs w:val="0"/>
                <w:color w:val="auto"/>
                <w:sz w:val="24"/>
                <w:szCs w:val="24"/>
              </w:rPr>
              <w:t xml:space="preserve"> Groundwater Sustainability Agency</w:t>
            </w:r>
            <w:r w:rsidR="00DD5FFD">
              <w:rPr>
                <w:rFonts w:asciiTheme="minorHAnsi" w:hAnsiTheme="minorHAnsi" w:cstheme="minorHAnsi"/>
                <w:b w:val="0"/>
                <w:bCs w:val="0"/>
                <w:color w:val="auto"/>
                <w:sz w:val="24"/>
                <w:szCs w:val="24"/>
              </w:rPr>
              <w:t xml:space="preserve"> (GSA)</w:t>
            </w:r>
          </w:p>
        </w:tc>
        <w:tc>
          <w:tcPr>
            <w:tcW w:w="2705" w:type="dxa"/>
          </w:tcPr>
          <w:p w14:paraId="60105B4B" w14:textId="36932312" w:rsidR="006B35E0" w:rsidRDefault="006B35E0" w:rsidP="006C7C2A">
            <w:pPr>
              <w:pStyle w:val="Heading3"/>
              <w:spacing w:before="60"/>
              <w:ind w:left="0" w:firstLine="0"/>
              <w:rPr>
                <w:rFonts w:asciiTheme="minorHAnsi" w:hAnsiTheme="minorHAnsi" w:cstheme="minorHAnsi"/>
                <w:b w:val="0"/>
                <w:bCs w:val="0"/>
                <w:color w:val="auto"/>
                <w:sz w:val="24"/>
                <w:szCs w:val="24"/>
              </w:rPr>
            </w:pPr>
          </w:p>
        </w:tc>
      </w:tr>
      <w:tr w:rsidR="006B35E0" w14:paraId="35151271" w14:textId="6E8B3239" w:rsidTr="007C0279">
        <w:tc>
          <w:tcPr>
            <w:tcW w:w="1002" w:type="dxa"/>
          </w:tcPr>
          <w:p w14:paraId="7921E874" w14:textId="4A43A90B"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From:</w:t>
            </w:r>
          </w:p>
        </w:tc>
        <w:tc>
          <w:tcPr>
            <w:tcW w:w="5923" w:type="dxa"/>
            <w:tcBorders>
              <w:top w:val="single" w:sz="4" w:space="0" w:color="auto"/>
              <w:bottom w:val="single" w:sz="4" w:space="0" w:color="auto"/>
            </w:tcBorders>
          </w:tcPr>
          <w:p w14:paraId="24DFB44F" w14:textId="69A2375B"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Larry Walker Associates</w:t>
            </w:r>
          </w:p>
        </w:tc>
        <w:tc>
          <w:tcPr>
            <w:tcW w:w="2705" w:type="dxa"/>
          </w:tcPr>
          <w:p w14:paraId="6D1296B6" w14:textId="025506B0" w:rsidR="006B35E0" w:rsidRDefault="006B35E0" w:rsidP="006C7C2A">
            <w:pPr>
              <w:pStyle w:val="Heading3"/>
              <w:spacing w:before="60"/>
              <w:ind w:left="0" w:firstLine="0"/>
              <w:rPr>
                <w:rFonts w:asciiTheme="minorHAnsi" w:hAnsiTheme="minorHAnsi" w:cstheme="minorHAnsi"/>
                <w:b w:val="0"/>
                <w:bCs w:val="0"/>
                <w:color w:val="auto"/>
                <w:sz w:val="24"/>
                <w:szCs w:val="24"/>
              </w:rPr>
            </w:pPr>
          </w:p>
        </w:tc>
      </w:tr>
      <w:tr w:rsidR="006B35E0" w14:paraId="6107AC9E" w14:textId="7D2CB46E" w:rsidTr="007C0279">
        <w:tc>
          <w:tcPr>
            <w:tcW w:w="1002" w:type="dxa"/>
          </w:tcPr>
          <w:p w14:paraId="0471476E" w14:textId="23884F29"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Subject:</w:t>
            </w:r>
          </w:p>
        </w:tc>
        <w:tc>
          <w:tcPr>
            <w:tcW w:w="5923" w:type="dxa"/>
            <w:tcBorders>
              <w:top w:val="single" w:sz="4" w:space="0" w:color="auto"/>
              <w:bottom w:val="single" w:sz="4" w:space="0" w:color="auto"/>
            </w:tcBorders>
          </w:tcPr>
          <w:p w14:paraId="08CDFA4A" w14:textId="49EF91F2" w:rsidR="006B35E0" w:rsidRPr="006B35E0" w:rsidRDefault="006B35E0" w:rsidP="006C7C2A">
            <w:pPr>
              <w:pStyle w:val="Heading3"/>
              <w:spacing w:before="60"/>
              <w:ind w:left="0" w:firstLine="0"/>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Groundwater Monitoring Network Enhancement</w:t>
            </w:r>
            <w:r w:rsidR="00B6150F">
              <w:rPr>
                <w:rFonts w:asciiTheme="minorHAnsi" w:hAnsiTheme="minorHAnsi" w:cstheme="minorHAnsi"/>
                <w:b w:val="0"/>
                <w:bCs w:val="0"/>
                <w:color w:val="auto"/>
                <w:sz w:val="24"/>
                <w:szCs w:val="24"/>
              </w:rPr>
              <w:t>s</w:t>
            </w:r>
          </w:p>
        </w:tc>
        <w:tc>
          <w:tcPr>
            <w:tcW w:w="2705" w:type="dxa"/>
          </w:tcPr>
          <w:p w14:paraId="3712EAF4" w14:textId="3FD07892" w:rsidR="006B35E0" w:rsidRDefault="007C0279" w:rsidP="006C7C2A">
            <w:pPr>
              <w:pStyle w:val="Heading3"/>
              <w:spacing w:before="60"/>
              <w:ind w:left="0" w:firstLine="0"/>
              <w:rPr>
                <w:rFonts w:asciiTheme="minorHAnsi" w:hAnsiTheme="minorHAnsi" w:cstheme="minorHAnsi"/>
                <w:b w:val="0"/>
                <w:bCs w:val="0"/>
                <w:color w:val="auto"/>
                <w:sz w:val="24"/>
                <w:szCs w:val="24"/>
              </w:rPr>
            </w:pPr>
            <w:r>
              <w:rPr>
                <w:noProof/>
              </w:rPr>
              <w:drawing>
                <wp:anchor distT="0" distB="0" distL="114300" distR="114300" simplePos="0" relativeHeight="251658240" behindDoc="1" locked="0" layoutInCell="1" hidden="0" allowOverlap="1" wp14:anchorId="28E9E27E" wp14:editId="434E155F">
                  <wp:simplePos x="0" y="0"/>
                  <wp:positionH relativeFrom="column">
                    <wp:posOffset>163195</wp:posOffset>
                  </wp:positionH>
                  <wp:positionV relativeFrom="paragraph">
                    <wp:posOffset>-552450</wp:posOffset>
                  </wp:positionV>
                  <wp:extent cx="1514475" cy="819150"/>
                  <wp:effectExtent l="0" t="0" r="9525" b="0"/>
                  <wp:wrapNone/>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a:stretch>
                            <a:fillRect/>
                          </a:stretch>
                        </pic:blipFill>
                        <pic:spPr>
                          <a:xfrm>
                            <a:off x="0" y="0"/>
                            <a:ext cx="1514475" cy="819150"/>
                          </a:xfrm>
                          <a:prstGeom prst="rect">
                            <a:avLst/>
                          </a:prstGeom>
                          <a:ln/>
                        </pic:spPr>
                      </pic:pic>
                    </a:graphicData>
                  </a:graphic>
                  <wp14:sizeRelH relativeFrom="margin">
                    <wp14:pctWidth>0</wp14:pctWidth>
                  </wp14:sizeRelH>
                  <wp14:sizeRelV relativeFrom="margin">
                    <wp14:pctHeight>0</wp14:pctHeight>
                  </wp14:sizeRelV>
                </wp:anchor>
              </w:drawing>
            </w:r>
          </w:p>
        </w:tc>
      </w:tr>
      <w:tr w:rsidR="006B35E0" w14:paraId="595B56F4" w14:textId="6BCC6A61" w:rsidTr="007C0279">
        <w:trPr>
          <w:trHeight w:val="395"/>
        </w:trPr>
        <w:tc>
          <w:tcPr>
            <w:tcW w:w="1002" w:type="dxa"/>
            <w:tcBorders>
              <w:bottom w:val="single" w:sz="18" w:space="0" w:color="074976" w:themeColor="text2"/>
            </w:tcBorders>
          </w:tcPr>
          <w:p w14:paraId="365D1B2A" w14:textId="77777777" w:rsidR="006B35E0" w:rsidRDefault="006B35E0" w:rsidP="006C7C2A">
            <w:pPr>
              <w:pStyle w:val="Heading3"/>
              <w:spacing w:before="60"/>
              <w:ind w:left="0" w:firstLine="0"/>
              <w:jc w:val="center"/>
              <w:rPr>
                <w:rFonts w:asciiTheme="minorHAnsi" w:hAnsiTheme="minorHAnsi" w:cstheme="minorHAnsi"/>
                <w:b w:val="0"/>
                <w:bCs w:val="0"/>
                <w:color w:val="auto"/>
                <w:sz w:val="24"/>
                <w:szCs w:val="24"/>
              </w:rPr>
            </w:pPr>
          </w:p>
        </w:tc>
        <w:tc>
          <w:tcPr>
            <w:tcW w:w="5923" w:type="dxa"/>
            <w:tcBorders>
              <w:top w:val="single" w:sz="4" w:space="0" w:color="auto"/>
              <w:bottom w:val="single" w:sz="18" w:space="0" w:color="074976" w:themeColor="text2"/>
            </w:tcBorders>
          </w:tcPr>
          <w:p w14:paraId="2CE7F2D3" w14:textId="77777777" w:rsidR="006B35E0" w:rsidRDefault="006B35E0" w:rsidP="006C7C2A">
            <w:pPr>
              <w:pStyle w:val="Heading3"/>
              <w:spacing w:before="60"/>
              <w:ind w:left="0" w:firstLine="0"/>
              <w:jc w:val="center"/>
              <w:rPr>
                <w:rFonts w:asciiTheme="minorHAnsi" w:hAnsiTheme="minorHAnsi" w:cstheme="minorHAnsi"/>
                <w:b w:val="0"/>
                <w:bCs w:val="0"/>
                <w:color w:val="auto"/>
                <w:sz w:val="24"/>
                <w:szCs w:val="24"/>
              </w:rPr>
            </w:pPr>
          </w:p>
        </w:tc>
        <w:tc>
          <w:tcPr>
            <w:tcW w:w="2705" w:type="dxa"/>
            <w:tcBorders>
              <w:bottom w:val="single" w:sz="18" w:space="0" w:color="074976" w:themeColor="text2"/>
            </w:tcBorders>
          </w:tcPr>
          <w:p w14:paraId="1C19FFFB" w14:textId="7D3C337B" w:rsidR="006B35E0" w:rsidRDefault="006B35E0" w:rsidP="006C7C2A">
            <w:pPr>
              <w:pStyle w:val="Heading3"/>
              <w:spacing w:before="60"/>
              <w:ind w:left="0" w:firstLine="0"/>
              <w:jc w:val="center"/>
              <w:rPr>
                <w:rFonts w:asciiTheme="minorHAnsi" w:hAnsiTheme="minorHAnsi" w:cstheme="minorHAnsi"/>
                <w:b w:val="0"/>
                <w:bCs w:val="0"/>
                <w:color w:val="auto"/>
                <w:sz w:val="24"/>
                <w:szCs w:val="24"/>
              </w:rPr>
            </w:pPr>
          </w:p>
        </w:tc>
      </w:tr>
    </w:tbl>
    <w:p w14:paraId="64755CBE" w14:textId="780F8EDA" w:rsidR="001D4688" w:rsidRDefault="001D4688">
      <w:pPr>
        <w:pStyle w:val="Heading3"/>
        <w:spacing w:before="0" w:after="0"/>
        <w:ind w:left="0" w:firstLine="0"/>
        <w:rPr>
          <w:sz w:val="14"/>
          <w:szCs w:val="14"/>
        </w:rPr>
      </w:pPr>
      <w:bookmarkStart w:id="1" w:name="_heading=h.pghxz8lcqq8q" w:colFirst="0" w:colLast="0"/>
      <w:bookmarkEnd w:id="1"/>
    </w:p>
    <w:p w14:paraId="52146BC2" w14:textId="06BEBC12" w:rsidR="001D4688" w:rsidRDefault="000B78FE" w:rsidP="000B78FE">
      <w:pPr>
        <w:pStyle w:val="Heading1"/>
      </w:pPr>
      <w:r>
        <w:t xml:space="preserve">1. </w:t>
      </w:r>
      <w:r w:rsidR="00A02666">
        <w:t>BACKGROUND</w:t>
      </w:r>
    </w:p>
    <w:p w14:paraId="514496EF" w14:textId="2A6B7134" w:rsidR="00EA3D69" w:rsidRPr="00966061" w:rsidRDefault="00966061" w:rsidP="006468A8">
      <w:pPr>
        <w:rPr>
          <w:rFonts w:ascii="Arial" w:eastAsia="Arial" w:hAnsi="Arial" w:cs="Arial"/>
          <w:smallCaps/>
          <w:color w:val="41788E"/>
        </w:rPr>
      </w:pPr>
      <w:bookmarkStart w:id="2" w:name="_heading=h.d2p8agvm0fe9" w:colFirst="0" w:colLast="0"/>
      <w:bookmarkEnd w:id="2"/>
      <w:r>
        <w:t xml:space="preserve">The </w:t>
      </w:r>
      <w:r w:rsidR="009B1BEE">
        <w:t>Vina</w:t>
      </w:r>
      <w:r>
        <w:t xml:space="preserve"> Groundwater Sustainability Agency (GSA) </w:t>
      </w:r>
      <w:r w:rsidR="0094734C">
        <w:t xml:space="preserve">groundwater level </w:t>
      </w:r>
      <w:r>
        <w:t>monitoring network</w:t>
      </w:r>
      <w:r w:rsidR="0094734C">
        <w:t xml:space="preserve"> is critical for understanding conditions for all b</w:t>
      </w:r>
      <w:r>
        <w:t xml:space="preserve">eneficial users </w:t>
      </w:r>
      <w:r w:rsidR="0094734C">
        <w:t xml:space="preserve">and uses of groundwater </w:t>
      </w:r>
      <w:r>
        <w:t xml:space="preserve">including </w:t>
      </w:r>
      <w:r w:rsidR="00B6150F">
        <w:t>interconnected</w:t>
      </w:r>
      <w:r w:rsidR="00DD5FFD">
        <w:t xml:space="preserve"> surface waters (ISWs), groundwater dependent ecosystems (GDEs), </w:t>
      </w:r>
      <w:r>
        <w:t xml:space="preserve">domestic </w:t>
      </w:r>
      <w:r w:rsidR="0094734C">
        <w:t xml:space="preserve">well </w:t>
      </w:r>
      <w:r>
        <w:t xml:space="preserve">users, </w:t>
      </w:r>
      <w:r w:rsidR="00DD5FFD">
        <w:t xml:space="preserve">and </w:t>
      </w:r>
      <w:r>
        <w:t xml:space="preserve">agricultural users. </w:t>
      </w:r>
      <w:r w:rsidR="007E5624">
        <w:t>The Vina GSA was awarded funding through DWR’s Sustainable Groundwater Management (SGM) Grant Program to fund monitoring network enhancements as identified in the</w:t>
      </w:r>
      <w:r w:rsidR="009B1BEE">
        <w:t xml:space="preserve"> Vina Groundwater Sustainability Plan (GSP)</w:t>
      </w:r>
      <w:r w:rsidR="007E5624">
        <w:t xml:space="preserve"> and DWR’s Determination Letter</w:t>
      </w:r>
      <w:r w:rsidR="006468A8">
        <w:t>.</w:t>
      </w:r>
      <w:r w:rsidR="007E5624">
        <w:rPr>
          <w:rStyle w:val="FootnoteReference"/>
        </w:rPr>
        <w:footnoteReference w:id="1"/>
      </w:r>
      <w:r w:rsidR="00047D19">
        <w:t xml:space="preserve"> </w:t>
      </w:r>
      <w:r w:rsidR="00FC3E29">
        <w:t>The scope of t</w:t>
      </w:r>
      <w:r w:rsidR="00EA3D69">
        <w:t>h</w:t>
      </w:r>
      <w:r w:rsidR="003C4D0D">
        <w:t>is grant</w:t>
      </w:r>
      <w:r w:rsidR="00EA3D69">
        <w:t xml:space="preserve"> </w:t>
      </w:r>
      <w:r w:rsidR="00FC3E29">
        <w:t>includes</w:t>
      </w:r>
      <w:r w:rsidR="002244FC">
        <w:t xml:space="preserve"> (1) a thorough review of the existing monitoring network and (2) the design </w:t>
      </w:r>
      <w:r w:rsidR="00C5663E">
        <w:t>and installation</w:t>
      </w:r>
      <w:r w:rsidR="002244FC">
        <w:t xml:space="preserve"> </w:t>
      </w:r>
      <w:r w:rsidR="00C5663E">
        <w:t>of</w:t>
      </w:r>
      <w:r w:rsidR="002244FC">
        <w:t xml:space="preserve"> a</w:t>
      </w:r>
      <w:r w:rsidR="00EA3D69">
        <w:t xml:space="preserve"> minimum </w:t>
      </w:r>
      <w:r w:rsidR="002244FC">
        <w:t xml:space="preserve">of </w:t>
      </w:r>
      <w:r w:rsidR="00A4633B">
        <w:t>nine</w:t>
      </w:r>
      <w:r w:rsidR="009E0316">
        <w:t xml:space="preserve"> </w:t>
      </w:r>
      <w:r w:rsidR="002244FC">
        <w:t xml:space="preserve">new </w:t>
      </w:r>
      <w:r w:rsidR="00EA3D69">
        <w:t>shallow wells</w:t>
      </w:r>
      <w:r w:rsidR="006B4F8B">
        <w:t>,</w:t>
      </w:r>
      <w:r w:rsidR="00EA3D69">
        <w:t xml:space="preserve"> </w:t>
      </w:r>
      <w:r w:rsidR="00A4633B">
        <w:t>one</w:t>
      </w:r>
      <w:r w:rsidR="009E0316">
        <w:t xml:space="preserve"> </w:t>
      </w:r>
      <w:r w:rsidR="002244FC">
        <w:t xml:space="preserve">new </w:t>
      </w:r>
      <w:r w:rsidR="00EA3D69">
        <w:t>multi-completion well</w:t>
      </w:r>
      <w:r w:rsidR="006B4F8B">
        <w:t>, a</w:t>
      </w:r>
      <w:r w:rsidR="007E5624">
        <w:t xml:space="preserve"> minimum of</w:t>
      </w:r>
      <w:r w:rsidR="006B4F8B">
        <w:t xml:space="preserve"> </w:t>
      </w:r>
      <w:r w:rsidR="007F21D2">
        <w:t>three</w:t>
      </w:r>
      <w:r w:rsidR="009E0316">
        <w:t xml:space="preserve"> </w:t>
      </w:r>
      <w:r w:rsidR="006B4F8B">
        <w:t>new stream gages</w:t>
      </w:r>
      <w:r w:rsidR="007E5624">
        <w:t>, and monitoring of eight  domestic wells</w:t>
      </w:r>
      <w:r w:rsidR="00EA3D69">
        <w:t>.</w:t>
      </w:r>
      <w:r w:rsidR="00C5663E">
        <w:t xml:space="preserve"> </w:t>
      </w:r>
    </w:p>
    <w:p w14:paraId="5459104B" w14:textId="4E00DAAA" w:rsidR="000B78FE" w:rsidRDefault="000B78FE" w:rsidP="00047D19">
      <w:pPr>
        <w:pStyle w:val="Heading1"/>
      </w:pPr>
      <w:r>
        <w:t xml:space="preserve">2. </w:t>
      </w:r>
      <w:r w:rsidR="00A02666">
        <w:t>METHODS AND PROCEDURES</w:t>
      </w:r>
    </w:p>
    <w:p w14:paraId="5D828B6D" w14:textId="7D3A2859" w:rsidR="006720C7" w:rsidRDefault="00596659" w:rsidP="000B78FE">
      <w:r>
        <w:t>The Vina GSP, Section 4.2,</w:t>
      </w:r>
      <w:r w:rsidR="00A02666">
        <w:t xml:space="preserve"> identifies seventy-</w:t>
      </w:r>
      <w:r w:rsidR="00CC7956">
        <w:t>eight</w:t>
      </w:r>
      <w:r w:rsidR="00A02666">
        <w:t xml:space="preserve"> (7</w:t>
      </w:r>
      <w:r w:rsidR="00CC7956">
        <w:t>8</w:t>
      </w:r>
      <w:r w:rsidR="00A02666">
        <w:t xml:space="preserve">) </w:t>
      </w:r>
      <w:r w:rsidR="00CC7956">
        <w:t xml:space="preserve">existing </w:t>
      </w:r>
      <w:r w:rsidR="00A02666">
        <w:t>wells within the</w:t>
      </w:r>
      <w:r w:rsidR="006720C7">
        <w:t xml:space="preserve"> Vina Subbasin</w:t>
      </w:r>
      <w:r w:rsidR="00A02666">
        <w:t xml:space="preserve"> groundwater level monitoring network </w:t>
      </w:r>
      <w:r>
        <w:t>(</w:t>
      </w:r>
      <w:r w:rsidR="00A02666">
        <w:t>Figure 1</w:t>
      </w:r>
      <w:r>
        <w:t>)</w:t>
      </w:r>
      <w:r w:rsidR="00A02666">
        <w:t>.</w:t>
      </w:r>
      <w:r w:rsidR="00CC7956">
        <w:t xml:space="preserve"> </w:t>
      </w:r>
      <w:r>
        <w:t>This network of monitoring wells was used for observing groundwater levels and calculating flow directions and hydraulic gradients in the principal aquifer</w:t>
      </w:r>
      <w:r w:rsidR="006720C7">
        <w:t xml:space="preserve"> during GSP development</w:t>
      </w:r>
      <w:r w:rsidR="008A5DEC">
        <w:t xml:space="preserve"> and annual reporting</w:t>
      </w:r>
      <w:r>
        <w:t>.</w:t>
      </w:r>
      <w:r w:rsidR="008100A0">
        <w:t xml:space="preserve"> </w:t>
      </w:r>
      <w:r w:rsidR="008100A0" w:rsidRPr="008100A0">
        <w:t xml:space="preserve">The actual aquifer layers these wells </w:t>
      </w:r>
      <w:r w:rsidR="0062131D">
        <w:t>represented</w:t>
      </w:r>
      <w:r w:rsidR="000C3D92">
        <w:t xml:space="preserve"> based on screen intervals</w:t>
      </w:r>
      <w:r w:rsidR="0062131D">
        <w:t xml:space="preserve"> </w:t>
      </w:r>
      <w:r w:rsidR="00BE0C6C">
        <w:t>/ well depth</w:t>
      </w:r>
      <w:r w:rsidR="00FE506D">
        <w:t>s</w:t>
      </w:r>
      <w:r w:rsidR="00BE0C6C">
        <w:t xml:space="preserve"> </w:t>
      </w:r>
      <w:r w:rsidR="0062131D">
        <w:t xml:space="preserve">were </w:t>
      </w:r>
      <w:r w:rsidR="000C3D92">
        <w:t>not</w:t>
      </w:r>
      <w:r w:rsidR="0062131D">
        <w:t xml:space="preserve"> identified in the GSP. </w:t>
      </w:r>
      <w:r w:rsidR="006720C7">
        <w:t>After meeting with the Butte County Technical Advisory Committee and neighboring subbasins, it was recommended to develop a separate m</w:t>
      </w:r>
      <w:r w:rsidR="00CC7956" w:rsidRPr="00CC7956">
        <w:t xml:space="preserve">onitoring network for the upper groundwater </w:t>
      </w:r>
      <w:r w:rsidR="00FE506D">
        <w:t>aquifer layer</w:t>
      </w:r>
      <w:r w:rsidR="00CC7956" w:rsidRPr="00CC7956">
        <w:t xml:space="preserve">, to monitor ISWs and GDEs, and the lower aquifer layer, </w:t>
      </w:r>
      <w:r w:rsidR="00FE506D">
        <w:t>to monitor impacts from</w:t>
      </w:r>
      <w:r w:rsidR="00CC7956" w:rsidRPr="00CC7956">
        <w:t xml:space="preserve"> pumping.</w:t>
      </w:r>
      <w:r w:rsidR="0062131D">
        <w:t xml:space="preserve"> </w:t>
      </w:r>
      <w:r w:rsidR="00FE506D">
        <w:t xml:space="preserve">The two-layer approach allows for assessing the vertical connectivity between aquifer zones. </w:t>
      </w:r>
    </w:p>
    <w:p w14:paraId="39FC2359" w14:textId="6E02EB36" w:rsidR="0062131D" w:rsidRDefault="00C45A83" w:rsidP="000B78FE">
      <w:r>
        <w:t>Vina</w:t>
      </w:r>
      <w:r w:rsidR="006720C7">
        <w:t xml:space="preserve"> GSA </w:t>
      </w:r>
      <w:r w:rsidR="008A5DEC">
        <w:t>partnered</w:t>
      </w:r>
      <w:r>
        <w:t xml:space="preserve"> with</w:t>
      </w:r>
      <w:r w:rsidR="006720C7">
        <w:t xml:space="preserve"> Dr. Todd Greene with CSU Chico to provide </w:t>
      </w:r>
      <w:r w:rsidR="006720C7" w:rsidRPr="006720C7">
        <w:t xml:space="preserve">stratigraphic context for the screened intervals in </w:t>
      </w:r>
      <w:r w:rsidR="008A5DEC" w:rsidRPr="006720C7">
        <w:t xml:space="preserve">the </w:t>
      </w:r>
      <w:r w:rsidR="008A5DEC">
        <w:t>Vina Subbasin</w:t>
      </w:r>
      <w:r w:rsidR="008A5DEC" w:rsidRPr="006720C7">
        <w:t xml:space="preserve"> </w:t>
      </w:r>
      <w:r w:rsidR="006720C7" w:rsidRPr="006720C7">
        <w:t>monitoring wells. Th</w:t>
      </w:r>
      <w:r w:rsidR="006720C7">
        <w:t>is</w:t>
      </w:r>
      <w:r w:rsidR="006720C7" w:rsidRPr="006720C7">
        <w:t xml:space="preserve"> information </w:t>
      </w:r>
      <w:r w:rsidR="006720C7">
        <w:t>was then</w:t>
      </w:r>
      <w:r w:rsidR="006720C7" w:rsidRPr="006720C7">
        <w:t xml:space="preserve"> used to help guide the location and screen intervals for future monitoring well sites</w:t>
      </w:r>
      <w:r w:rsidR="000C3D92">
        <w:t xml:space="preserve"> for the upper and lower aquifer layers</w:t>
      </w:r>
      <w:r w:rsidR="006720C7" w:rsidRPr="006720C7">
        <w:t>.</w:t>
      </w:r>
      <w:r w:rsidR="006720C7">
        <w:t xml:space="preserve"> </w:t>
      </w:r>
      <w:r w:rsidR="006720C7" w:rsidRPr="006720C7">
        <w:t>A thorough breakdown of the data, methodology, and results of this investigation are detailed in a technical memo</w:t>
      </w:r>
      <w:r w:rsidR="008A5DEC">
        <w:t>randum</w:t>
      </w:r>
      <w:r w:rsidR="006720C7" w:rsidRPr="006720C7">
        <w:t xml:space="preserve"> developed by Sub-Terra Heritage Resource Investigations (Greene, 2024).</w:t>
      </w:r>
    </w:p>
    <w:p w14:paraId="62451BF3" w14:textId="77777777" w:rsidR="0062131D" w:rsidRDefault="0062131D" w:rsidP="000B78FE">
      <w:pPr>
        <w:sectPr w:rsidR="0062131D">
          <w:headerReference w:type="default" r:id="rId10"/>
          <w:footerReference w:type="default" r:id="rId11"/>
          <w:pgSz w:w="12240" w:h="15840"/>
          <w:pgMar w:top="1440" w:right="1440" w:bottom="1440" w:left="1440" w:header="720" w:footer="432" w:gutter="0"/>
          <w:cols w:space="720"/>
        </w:sectPr>
      </w:pPr>
    </w:p>
    <w:p w14:paraId="6F59BE4C" w14:textId="5A5456B2" w:rsidR="0062131D" w:rsidRDefault="0062131D" w:rsidP="000B78FE">
      <w:pPr>
        <w:sectPr w:rsidR="0062131D" w:rsidSect="00BC0353">
          <w:pgSz w:w="15840" w:h="12240" w:orient="landscape"/>
          <w:pgMar w:top="1440" w:right="1440" w:bottom="1440" w:left="1440" w:header="720" w:footer="432" w:gutter="0"/>
          <w:cols w:space="720"/>
          <w:docGrid w:linePitch="326"/>
        </w:sectPr>
      </w:pPr>
      <w:r>
        <w:rPr>
          <w:noProof/>
        </w:rPr>
        <w:lastRenderedPageBreak/>
        <mc:AlternateContent>
          <mc:Choice Requires="wps">
            <w:drawing>
              <wp:anchor distT="0" distB="0" distL="114300" distR="114300" simplePos="0" relativeHeight="251661312" behindDoc="1" locked="0" layoutInCell="1" allowOverlap="1" wp14:anchorId="45B7615B" wp14:editId="3D7587BB">
                <wp:simplePos x="0" y="0"/>
                <wp:positionH relativeFrom="margin">
                  <wp:align>right</wp:align>
                </wp:positionH>
                <wp:positionV relativeFrom="paragraph">
                  <wp:posOffset>5373370</wp:posOffset>
                </wp:positionV>
                <wp:extent cx="8191500" cy="304800"/>
                <wp:effectExtent l="0" t="0" r="0" b="0"/>
                <wp:wrapTight wrapText="bothSides">
                  <wp:wrapPolygon edited="0">
                    <wp:start x="0" y="0"/>
                    <wp:lineTo x="0" y="20250"/>
                    <wp:lineTo x="21550" y="20250"/>
                    <wp:lineTo x="21550" y="0"/>
                    <wp:lineTo x="0" y="0"/>
                  </wp:wrapPolygon>
                </wp:wrapTight>
                <wp:docPr id="581417707" name="Text Box 1"/>
                <wp:cNvGraphicFramePr/>
                <a:graphic xmlns:a="http://schemas.openxmlformats.org/drawingml/2006/main">
                  <a:graphicData uri="http://schemas.microsoft.com/office/word/2010/wordprocessingShape">
                    <wps:wsp>
                      <wps:cNvSpPr txBox="1"/>
                      <wps:spPr>
                        <a:xfrm>
                          <a:off x="0" y="0"/>
                          <a:ext cx="8191500" cy="304800"/>
                        </a:xfrm>
                        <a:prstGeom prst="rect">
                          <a:avLst/>
                        </a:prstGeom>
                        <a:solidFill>
                          <a:prstClr val="white"/>
                        </a:solidFill>
                        <a:ln>
                          <a:noFill/>
                        </a:ln>
                      </wps:spPr>
                      <wps:txbx>
                        <w:txbxContent>
                          <w:p w14:paraId="2CCE9420" w14:textId="01B91895" w:rsidR="00CF4FB0" w:rsidRPr="00BC0353" w:rsidRDefault="00CF4FB0" w:rsidP="00CF4FB0">
                            <w:pPr>
                              <w:pStyle w:val="Caption"/>
                              <w:jc w:val="center"/>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001202AF" w:rsidRPr="00BC0353">
                              <w:rPr>
                                <w:noProof/>
                                <w:sz w:val="24"/>
                                <w:szCs w:val="24"/>
                              </w:rPr>
                              <w:t>1</w:t>
                            </w:r>
                            <w:r w:rsidRPr="00BC0353">
                              <w:rPr>
                                <w:sz w:val="24"/>
                                <w:szCs w:val="24"/>
                              </w:rPr>
                              <w:fldChar w:fldCharType="end"/>
                            </w:r>
                            <w:r w:rsidRPr="00BC0353">
                              <w:rPr>
                                <w:sz w:val="24"/>
                                <w:szCs w:val="24"/>
                              </w:rPr>
                              <w:t>.  Map of existing groundwater level monitoring network (Vina Groundwater Subbasin GSP, Figure 4-1, page 165)</w:t>
                            </w:r>
                            <w:r w:rsidR="00C72BF8" w:rsidRPr="00BC0353">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7615B" id="_x0000_t202" coordsize="21600,21600" o:spt="202" path="m,l,21600r21600,l21600,xe">
                <v:stroke joinstyle="miter"/>
                <v:path gradientshapeok="t" o:connecttype="rect"/>
              </v:shapetype>
              <v:shape id="Text Box 1" o:spid="_x0000_s1026" type="#_x0000_t202" style="position:absolute;margin-left:593.8pt;margin-top:423.1pt;width:645pt;height:24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" stroked="f">
                <v:textbox inset="0,0,0,0">
                  <w:txbxContent>
                    <w:p w14:paraId="2CCE9420" w14:textId="01B91895" w:rsidR="00CF4FB0" w:rsidRPr="00BC0353" w:rsidRDefault="00CF4FB0" w:rsidP="00CF4FB0">
                      <w:pPr>
                        <w:pStyle w:val="Caption"/>
                        <w:jc w:val="center"/>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001202AF" w:rsidRPr="00BC0353">
                        <w:rPr>
                          <w:noProof/>
                          <w:sz w:val="24"/>
                          <w:szCs w:val="24"/>
                        </w:rPr>
                        <w:t>1</w:t>
                      </w:r>
                      <w:r w:rsidRPr="00BC0353">
                        <w:rPr>
                          <w:sz w:val="24"/>
                          <w:szCs w:val="24"/>
                        </w:rPr>
                        <w:fldChar w:fldCharType="end"/>
                      </w:r>
                      <w:r w:rsidRPr="00BC0353">
                        <w:rPr>
                          <w:sz w:val="24"/>
                          <w:szCs w:val="24"/>
                        </w:rPr>
                        <w:t>.  Map of existing groundwater level monitoring network (Vina Groundwater Subbasin GSP, Figure 4-1, page 165)</w:t>
                      </w:r>
                      <w:r w:rsidR="00C72BF8" w:rsidRPr="00BC0353">
                        <w:rPr>
                          <w:sz w:val="24"/>
                          <w:szCs w:val="24"/>
                        </w:rPr>
                        <w:t>.</w:t>
                      </w:r>
                    </w:p>
                  </w:txbxContent>
                </v:textbox>
                <w10:wrap type="tight" anchorx="margin"/>
              </v:shape>
            </w:pict>
          </mc:Fallback>
        </mc:AlternateContent>
      </w:r>
      <w:r>
        <w:rPr>
          <w:noProof/>
        </w:rPr>
        <w:drawing>
          <wp:inline distT="0" distB="0" distL="0" distR="0" wp14:anchorId="56FBE89A" wp14:editId="19FF0844">
            <wp:extent cx="8267700" cy="5358498"/>
            <wp:effectExtent l="0" t="0" r="0" b="0"/>
            <wp:docPr id="1250446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2314" cy="5361488"/>
                    </a:xfrm>
                    <a:prstGeom prst="rect">
                      <a:avLst/>
                    </a:prstGeom>
                    <a:noFill/>
                  </pic:spPr>
                </pic:pic>
              </a:graphicData>
            </a:graphic>
          </wp:inline>
        </w:drawing>
      </w:r>
    </w:p>
    <w:p w14:paraId="2DDF6C6C" w14:textId="38F916DC" w:rsidR="000A2CFE" w:rsidRPr="00C72BF8" w:rsidRDefault="00F0233E" w:rsidP="00BC0353">
      <w:pPr>
        <w:rPr>
          <w:rStyle w:val="Heading2Char"/>
        </w:rPr>
      </w:pPr>
      <w:r>
        <w:lastRenderedPageBreak/>
        <w:t>2</w:t>
      </w:r>
      <w:r w:rsidR="000A2CFE" w:rsidRPr="00C72BF8">
        <w:rPr>
          <w:rStyle w:val="Heading2Char"/>
        </w:rPr>
        <w:t>.</w:t>
      </w:r>
      <w:r w:rsidR="000C3D92">
        <w:rPr>
          <w:rStyle w:val="Heading2Char"/>
        </w:rPr>
        <w:t>1</w:t>
      </w:r>
      <w:r w:rsidR="000A2CFE" w:rsidRPr="00C72BF8">
        <w:rPr>
          <w:rStyle w:val="Heading2Char"/>
        </w:rPr>
        <w:t xml:space="preserve">. </w:t>
      </w:r>
      <w:r w:rsidR="00C72BF8" w:rsidRPr="00C72BF8">
        <w:rPr>
          <w:rStyle w:val="Heading2Char"/>
        </w:rPr>
        <w:t xml:space="preserve">Monitoring Network </w:t>
      </w:r>
      <w:r w:rsidR="000C3D92">
        <w:rPr>
          <w:rStyle w:val="Heading2Char"/>
        </w:rPr>
        <w:t>Enhancements</w:t>
      </w:r>
    </w:p>
    <w:p w14:paraId="23F09507" w14:textId="36C8AD7A" w:rsidR="0017606B" w:rsidRDefault="0017606B" w:rsidP="00C76292">
      <w:r w:rsidRPr="0017606B">
        <w:t xml:space="preserve">To refine the site selection process for </w:t>
      </w:r>
      <w:r>
        <w:t>new</w:t>
      </w:r>
      <w:r w:rsidR="000C3D92">
        <w:t xml:space="preserve"> </w:t>
      </w:r>
      <w:r>
        <w:t>wells</w:t>
      </w:r>
      <w:r w:rsidR="0046076C">
        <w:t xml:space="preserve"> and stream gages</w:t>
      </w:r>
      <w:r>
        <w:t xml:space="preserve"> in the</w:t>
      </w:r>
      <w:r w:rsidRPr="0017606B">
        <w:t xml:space="preserve"> groundwater monitoring network, </w:t>
      </w:r>
      <w:r>
        <w:t xml:space="preserve">LWA </w:t>
      </w:r>
      <w:r w:rsidR="000C3D92">
        <w:t xml:space="preserve">in coordination with </w:t>
      </w:r>
      <w:r w:rsidRPr="0017606B">
        <w:t xml:space="preserve">GSA </w:t>
      </w:r>
      <w:r w:rsidR="000C3D92">
        <w:t xml:space="preserve">staff </w:t>
      </w:r>
      <w:r w:rsidRPr="0017606B">
        <w:t>ha</w:t>
      </w:r>
      <w:r>
        <w:t>ve</w:t>
      </w:r>
      <w:r w:rsidRPr="0017606B">
        <w:t xml:space="preserve"> established </w:t>
      </w:r>
      <w:r w:rsidR="008E7A8A">
        <w:t>the</w:t>
      </w:r>
      <w:r w:rsidRPr="0017606B">
        <w:t xml:space="preserve"> </w:t>
      </w:r>
      <w:r w:rsidR="00C54355">
        <w:t xml:space="preserve">following </w:t>
      </w:r>
      <w:r>
        <w:t>site selection criteria</w:t>
      </w:r>
      <w:r w:rsidR="000C3D92">
        <w:t xml:space="preserve">: </w:t>
      </w:r>
    </w:p>
    <w:p w14:paraId="2A622815" w14:textId="2C32E1DD" w:rsidR="003C4D0D" w:rsidRDefault="00E723BE" w:rsidP="0046076C">
      <w:pPr>
        <w:pStyle w:val="ListParagraph"/>
        <w:numPr>
          <w:ilvl w:val="0"/>
          <w:numId w:val="14"/>
        </w:numPr>
      </w:pPr>
      <w:r w:rsidRPr="00E723BE">
        <w:rPr>
          <w:b/>
          <w:bCs/>
        </w:rPr>
        <w:t>Data Gaps</w:t>
      </w:r>
      <w:r w:rsidR="0084378E">
        <w:rPr>
          <w:b/>
          <w:bCs/>
        </w:rPr>
        <w:t xml:space="preserve"> – </w:t>
      </w:r>
      <w:r w:rsidR="00D11B0F">
        <w:t>Prioritize</w:t>
      </w:r>
      <w:r w:rsidR="000C3D92">
        <w:t xml:space="preserve"> locations</w:t>
      </w:r>
      <w:r w:rsidR="00C76292" w:rsidRPr="00C76292">
        <w:t xml:space="preserve"> </w:t>
      </w:r>
      <w:r w:rsidR="00D11B0F">
        <w:t xml:space="preserve">that </w:t>
      </w:r>
      <w:r w:rsidR="00DA4F8C">
        <w:t>will</w:t>
      </w:r>
      <w:r w:rsidR="00D11B0F">
        <w:t xml:space="preserve"> help address data gaps</w:t>
      </w:r>
      <w:r w:rsidR="008E7A8A">
        <w:t xml:space="preserve"> identified</w:t>
      </w:r>
      <w:r w:rsidR="00D11B0F">
        <w:t xml:space="preserve"> in the GSP</w:t>
      </w:r>
      <w:r w:rsidR="008E7A8A">
        <w:t xml:space="preserve"> and DWR’s Determination Letter which includes</w:t>
      </w:r>
      <w:r w:rsidR="000C3D92">
        <w:t xml:space="preserve"> ISWs and GDEs. </w:t>
      </w:r>
      <w:r w:rsidR="00EF580C">
        <w:t xml:space="preserve">The Butte Basin Groundwater Model was used to identify potential ISWs. Potential GDEs </w:t>
      </w:r>
      <w:r w:rsidR="00C54355">
        <w:t xml:space="preserve">were </w:t>
      </w:r>
      <w:r w:rsidR="00EF580C">
        <w:t xml:space="preserve">identified using the Natural Communities Commonly Associated with Groundwater dataset developed by DWR, </w:t>
      </w:r>
      <w:r w:rsidR="00EF580C" w:rsidRPr="00EF580C">
        <w:t>the California Department of Fish and Wildlife (CDFW), and The Nature Conservancy (TNC)</w:t>
      </w:r>
      <w:r w:rsidR="00EF580C">
        <w:t xml:space="preserve">. </w:t>
      </w:r>
    </w:p>
    <w:p w14:paraId="4E639F92" w14:textId="05276480" w:rsidR="0046076C" w:rsidRDefault="0046076C" w:rsidP="002B3D5B">
      <w:pPr>
        <w:pStyle w:val="ListParagraph"/>
        <w:numPr>
          <w:ilvl w:val="0"/>
          <w:numId w:val="14"/>
        </w:numPr>
      </w:pPr>
      <w:r w:rsidRPr="0084378E">
        <w:rPr>
          <w:b/>
          <w:bCs/>
        </w:rPr>
        <w:t>Land</w:t>
      </w:r>
      <w:r w:rsidR="008E7A8A">
        <w:rPr>
          <w:b/>
          <w:bCs/>
        </w:rPr>
        <w:t xml:space="preserve"> Access</w:t>
      </w:r>
      <w:r w:rsidRPr="0084378E">
        <w:rPr>
          <w:b/>
          <w:bCs/>
        </w:rPr>
        <w:t xml:space="preserve"> –</w:t>
      </w:r>
      <w:r w:rsidR="008E7A8A">
        <w:t xml:space="preserve"> T</w:t>
      </w:r>
      <w:r>
        <w:t xml:space="preserve">he GSA will </w:t>
      </w:r>
      <w:r w:rsidR="008E7A8A">
        <w:t>locate new</w:t>
      </w:r>
      <w:r w:rsidR="00E61BD4">
        <w:t xml:space="preserve"> sites </w:t>
      </w:r>
      <w:r w:rsidR="00BE0C6C">
        <w:t>along County</w:t>
      </w:r>
      <w:r w:rsidR="008E7A8A">
        <w:t xml:space="preserve"> and </w:t>
      </w:r>
      <w:r w:rsidR="00BE0C6C">
        <w:t>City easements</w:t>
      </w:r>
      <w:r w:rsidR="008E7A8A">
        <w:t xml:space="preserve"> </w:t>
      </w:r>
      <w:r w:rsidR="00C54355">
        <w:t xml:space="preserve">when feasible or </w:t>
      </w:r>
      <w:r w:rsidR="008E7A8A">
        <w:t>establish landowner agreements</w:t>
      </w:r>
      <w:r w:rsidR="00C54355">
        <w:t xml:space="preserve"> as needed</w:t>
      </w:r>
      <w:r>
        <w:t>.</w:t>
      </w:r>
    </w:p>
    <w:p w14:paraId="6F21C2E3" w14:textId="283056CD" w:rsidR="00964A7B" w:rsidRDefault="00964A7B" w:rsidP="00964A7B">
      <w:pPr>
        <w:pStyle w:val="ListParagraph"/>
        <w:numPr>
          <w:ilvl w:val="0"/>
          <w:numId w:val="14"/>
        </w:numPr>
      </w:pPr>
      <w:r>
        <w:rPr>
          <w:b/>
          <w:bCs/>
        </w:rPr>
        <w:t xml:space="preserve">Existing </w:t>
      </w:r>
      <w:r w:rsidR="0046076C">
        <w:rPr>
          <w:b/>
          <w:bCs/>
        </w:rPr>
        <w:t>Infrastructure</w:t>
      </w:r>
      <w:r>
        <w:rPr>
          <w:b/>
          <w:bCs/>
        </w:rPr>
        <w:t xml:space="preserve"> – </w:t>
      </w:r>
      <w:r>
        <w:t xml:space="preserve">Prioritize utilizing existing infrastructure to avoid </w:t>
      </w:r>
      <w:r w:rsidR="00C54355">
        <w:t>unnecessary</w:t>
      </w:r>
      <w:r>
        <w:t xml:space="preserve"> drilling and well construction expenses, when possible. </w:t>
      </w:r>
      <w:r w:rsidR="006B4F8B">
        <w:t xml:space="preserve">For stream gages, locating and reactivating inactive sites </w:t>
      </w:r>
      <w:r w:rsidR="00C54355">
        <w:t>will generally be more cost-effective</w:t>
      </w:r>
      <w:r w:rsidR="006B4F8B">
        <w:t xml:space="preserve"> than establishing new gag</w:t>
      </w:r>
      <w:r w:rsidR="002176FE">
        <w:t>ing</w:t>
      </w:r>
      <w:r w:rsidR="006B4F8B">
        <w:t xml:space="preserve"> sites.</w:t>
      </w:r>
    </w:p>
    <w:p w14:paraId="4AD09575" w14:textId="14E82505" w:rsidR="00E55019" w:rsidRDefault="00E723BE" w:rsidP="002B3D5B">
      <w:pPr>
        <w:pStyle w:val="ListParagraph"/>
        <w:numPr>
          <w:ilvl w:val="0"/>
          <w:numId w:val="14"/>
        </w:numPr>
      </w:pPr>
      <w:r w:rsidRPr="00E723BE">
        <w:rPr>
          <w:b/>
          <w:bCs/>
        </w:rPr>
        <w:t>SGMA Project</w:t>
      </w:r>
      <w:r w:rsidR="005612BC">
        <w:rPr>
          <w:b/>
          <w:bCs/>
        </w:rPr>
        <w:t>s</w:t>
      </w:r>
      <w:r w:rsidR="0084378E">
        <w:rPr>
          <w:b/>
          <w:bCs/>
        </w:rPr>
        <w:t xml:space="preserve"> – </w:t>
      </w:r>
      <w:r w:rsidR="00D11B0F">
        <w:t>Prioritize</w:t>
      </w:r>
      <w:r w:rsidR="0084378E">
        <w:t xml:space="preserve"> </w:t>
      </w:r>
      <w:r w:rsidR="00D11B0F">
        <w:t>sites</w:t>
      </w:r>
      <w:r w:rsidR="00C76292" w:rsidRPr="00C76292">
        <w:t xml:space="preserve"> </w:t>
      </w:r>
      <w:r>
        <w:t>that could benefit other SGMA project</w:t>
      </w:r>
      <w:r w:rsidR="002B3D5B">
        <w:t>s</w:t>
      </w:r>
      <w:r>
        <w:t>.</w:t>
      </w:r>
      <w:r w:rsidR="005612BC">
        <w:t xml:space="preserve"> </w:t>
      </w:r>
      <w:r w:rsidR="00964A7B">
        <w:t>For example, the</w:t>
      </w:r>
      <w:r w:rsidR="00D74833">
        <w:t xml:space="preserve"> Lindo Channel Recharge Project will require shallow wells to help quantify recharge</w:t>
      </w:r>
      <w:r w:rsidR="00964A7B">
        <w:t xml:space="preserve">. Installing both shallow wells in the area could help analyze benefits provided by such </w:t>
      </w:r>
      <w:r w:rsidR="00D74833">
        <w:t xml:space="preserve">a </w:t>
      </w:r>
      <w:r w:rsidR="00964A7B">
        <w:t xml:space="preserve">project in the </w:t>
      </w:r>
      <w:r w:rsidR="00C45A83">
        <w:t>short term</w:t>
      </w:r>
      <w:r w:rsidR="00964A7B">
        <w:t>, while also serving as long-term monitoring sites</w:t>
      </w:r>
      <w:r w:rsidR="00BE0C6C">
        <w:t xml:space="preserve"> for ISWs/GDEs</w:t>
      </w:r>
      <w:r w:rsidR="00964A7B">
        <w:t>.</w:t>
      </w:r>
    </w:p>
    <w:p w14:paraId="7F99D530" w14:textId="77777777" w:rsidR="00A655D1" w:rsidRDefault="00A655D1" w:rsidP="00A655D1">
      <w:pPr>
        <w:pStyle w:val="ListParagraph"/>
        <w:numPr>
          <w:ilvl w:val="0"/>
          <w:numId w:val="14"/>
        </w:numPr>
      </w:pPr>
      <w:r w:rsidRPr="00990F0B">
        <w:rPr>
          <w:b/>
          <w:bCs/>
        </w:rPr>
        <w:t>Water Quality –</w:t>
      </w:r>
      <w:r>
        <w:t xml:space="preserve"> To the extent possible, new wells will support subbasin groundwater quality monitoring efforts and fill gaps in the water quality monitoring network. </w:t>
      </w:r>
    </w:p>
    <w:p w14:paraId="5E8BE615" w14:textId="0B491149" w:rsidR="00D74833" w:rsidRPr="002B3D5B" w:rsidRDefault="00D74833" w:rsidP="002B3D5B">
      <w:pPr>
        <w:pStyle w:val="ListParagraph"/>
        <w:numPr>
          <w:ilvl w:val="0"/>
          <w:numId w:val="14"/>
        </w:numPr>
      </w:pPr>
      <w:r>
        <w:rPr>
          <w:b/>
          <w:bCs/>
        </w:rPr>
        <w:t>Priority Watersheds –</w:t>
      </w:r>
      <w:r>
        <w:t xml:space="preserve"> While most wells and stream gages </w:t>
      </w:r>
      <w:r w:rsidR="00AC4A2F">
        <w:t xml:space="preserve">will be placed in accordance with the criteria listed above, the GSA may have the opportunity to install additional stream gages </w:t>
      </w:r>
      <w:r w:rsidR="009B0138">
        <w:t xml:space="preserve">under the Stream Gage Improvement Program (CalSIP) </w:t>
      </w:r>
      <w:r w:rsidR="00AC4A2F">
        <w:t xml:space="preserve">in “Priority Watersheds” as </w:t>
      </w:r>
      <w:r w:rsidR="00A655D1">
        <w:t xml:space="preserve">described in the 2022 </w:t>
      </w:r>
      <w:r w:rsidR="00A655D1" w:rsidRPr="00A655D1">
        <w:t>California Stream Gaging Prioritization Plan</w:t>
      </w:r>
      <w:r w:rsidR="009B0138" w:rsidRPr="00A655D1">
        <w:t>.</w:t>
      </w:r>
      <w:r w:rsidR="009B0138">
        <w:rPr>
          <w:rStyle w:val="FootnoteReference"/>
        </w:rPr>
        <w:footnoteReference w:id="2"/>
      </w:r>
      <w:r w:rsidR="009B0138">
        <w:t xml:space="preserve">  </w:t>
      </w:r>
      <w:r w:rsidR="002176FE">
        <w:t xml:space="preserve">The </w:t>
      </w:r>
      <w:r w:rsidR="009B0138">
        <w:t xml:space="preserve">CalSIP </w:t>
      </w:r>
      <w:r w:rsidR="002176FE">
        <w:t xml:space="preserve">Priority Watersheds in Vina </w:t>
      </w:r>
      <w:r w:rsidR="009B0138">
        <w:t xml:space="preserve">Subbasin include </w:t>
      </w:r>
      <w:r w:rsidR="002176FE">
        <w:t>Singer Creek, Pine Creek, Rock Creek, Commanche Creek,</w:t>
      </w:r>
      <w:r w:rsidR="00E61BD4">
        <w:t xml:space="preserve"> Hamlin Slough,</w:t>
      </w:r>
      <w:r w:rsidR="002176FE">
        <w:t xml:space="preserve"> </w:t>
      </w:r>
      <w:r w:rsidR="00E61BD4">
        <w:t xml:space="preserve">and Dry Creek. </w:t>
      </w:r>
    </w:p>
    <w:p w14:paraId="6AFB952F" w14:textId="29FCC2FE" w:rsidR="002176FE" w:rsidRDefault="002176FE" w:rsidP="002176FE">
      <w:pPr>
        <w:pStyle w:val="Heading2"/>
      </w:pPr>
      <w:r>
        <w:t>2.</w:t>
      </w:r>
      <w:r w:rsidR="00BE0C6C">
        <w:t>2</w:t>
      </w:r>
      <w:r>
        <w:t xml:space="preserve">. Domestic Well </w:t>
      </w:r>
      <w:r w:rsidR="0056410F">
        <w:t>Survey</w:t>
      </w:r>
    </w:p>
    <w:p w14:paraId="4A933D4C" w14:textId="4011639A" w:rsidR="002176FE" w:rsidRDefault="009231C1" w:rsidP="002176FE">
      <w:r>
        <w:t xml:space="preserve">A desktop </w:t>
      </w:r>
      <w:r w:rsidR="007F21D2">
        <w:t>survey</w:t>
      </w:r>
      <w:r>
        <w:t xml:space="preserve"> was </w:t>
      </w:r>
      <w:r w:rsidR="007F21D2">
        <w:t>performed</w:t>
      </w:r>
      <w:r>
        <w:t xml:space="preserve"> to </w:t>
      </w:r>
      <w:r w:rsidR="00BE0C6C">
        <w:t xml:space="preserve">locate parcels with domestic wells using </w:t>
      </w:r>
      <w:r w:rsidR="00FE506D">
        <w:t xml:space="preserve">the </w:t>
      </w:r>
      <w:r w:rsidR="00BE0C6C">
        <w:t>County Assess</w:t>
      </w:r>
      <w:r w:rsidR="00F70292">
        <w:t xml:space="preserve">or’s </w:t>
      </w:r>
      <w:r w:rsidR="00FE506D">
        <w:t>O</w:t>
      </w:r>
      <w:r w:rsidR="00F70292">
        <w:t>ffice parcel use codes</w:t>
      </w:r>
      <w:r>
        <w:t xml:space="preserve">. </w:t>
      </w:r>
      <w:r w:rsidR="007F21D2">
        <w:t>The goal of this survey was to refine the GSA’s existing domestic well dataset</w:t>
      </w:r>
      <w:r w:rsidR="00C253E4">
        <w:t xml:space="preserve"> and to identify areas with a high density of </w:t>
      </w:r>
      <w:r w:rsidR="00A655D1">
        <w:t>domestic</w:t>
      </w:r>
      <w:r w:rsidR="00C253E4">
        <w:t xml:space="preserve"> wells at risk of going dry</w:t>
      </w:r>
      <w:r w:rsidR="0056410F">
        <w:t xml:space="preserve"> (deemed “Priority Areas”)</w:t>
      </w:r>
      <w:r w:rsidR="00C253E4">
        <w:t xml:space="preserve">. In the desktop survey, </w:t>
      </w:r>
      <w:r w:rsidR="00C54355">
        <w:t>p</w:t>
      </w:r>
      <w:r w:rsidR="00C253E4">
        <w:t>arcels within Cal Water and Durham Irrigation District service area</w:t>
      </w:r>
      <w:r w:rsidR="00171052">
        <w:t>s</w:t>
      </w:r>
      <w:r w:rsidR="00C253E4">
        <w:t xml:space="preserve"> were excluded from </w:t>
      </w:r>
      <w:r w:rsidR="00BE0C6C">
        <w:t xml:space="preserve">the </w:t>
      </w:r>
      <w:r w:rsidR="00C253E4">
        <w:t>analysis</w:t>
      </w:r>
      <w:r w:rsidR="003140A1">
        <w:t xml:space="preserve"> due to being served by a public water supply system</w:t>
      </w:r>
      <w:r w:rsidR="00C253E4">
        <w:t>. Parcels zoned for agricultur</w:t>
      </w:r>
      <w:r w:rsidR="0056410F">
        <w:t xml:space="preserve">e were only included if they had a building with a known address. </w:t>
      </w:r>
    </w:p>
    <w:p w14:paraId="63ABB388" w14:textId="2ABF06B2" w:rsidR="0056410F" w:rsidRPr="002176FE" w:rsidRDefault="0056410F" w:rsidP="002176FE">
      <w:r>
        <w:t xml:space="preserve">The GSA </w:t>
      </w:r>
      <w:r w:rsidR="00A655D1">
        <w:t>will hold</w:t>
      </w:r>
      <w:r>
        <w:t xml:space="preserve"> outreach events to solicit interest from community members in Priority Areas in preparation for the launch of the Community Monitoring Program</w:t>
      </w:r>
      <w:r w:rsidR="00F70292">
        <w:t xml:space="preserve"> </w:t>
      </w:r>
      <w:r w:rsidR="00A655D1">
        <w:t>to</w:t>
      </w:r>
      <w:r w:rsidR="00F70292">
        <w:t xml:space="preserve"> monitor domestic wells throughout the Subbasin</w:t>
      </w:r>
      <w:r>
        <w:t>.</w:t>
      </w:r>
    </w:p>
    <w:p w14:paraId="438ADF84" w14:textId="6EF85324" w:rsidR="00A4633B" w:rsidRDefault="00A4633B" w:rsidP="00A4633B">
      <w:pPr>
        <w:pStyle w:val="Heading1"/>
      </w:pPr>
      <w:bookmarkStart w:id="3" w:name="_heading=h.5uwfmbj4nz14" w:colFirst="0" w:colLast="0"/>
      <w:bookmarkEnd w:id="3"/>
      <w:r>
        <w:lastRenderedPageBreak/>
        <w:t>3. RESULTS</w:t>
      </w:r>
    </w:p>
    <w:p w14:paraId="3DFDAD8F" w14:textId="685BEBFE" w:rsidR="00A4633B" w:rsidRDefault="00A4633B" w:rsidP="00A4633B">
      <w:pPr>
        <w:pStyle w:val="Heading2"/>
      </w:pPr>
      <w:r>
        <w:t xml:space="preserve">3.1. </w:t>
      </w:r>
      <w:r w:rsidR="003D5524">
        <w:t xml:space="preserve">Monitoring Network </w:t>
      </w:r>
      <w:r w:rsidR="00B22B86">
        <w:t>Enhancements</w:t>
      </w:r>
    </w:p>
    <w:p w14:paraId="227BBEC0" w14:textId="35948E57" w:rsidR="00D16A46" w:rsidRDefault="00B22B86" w:rsidP="003D5524">
      <w:r w:rsidRPr="00B22B86">
        <w:t>A map of the</w:t>
      </w:r>
      <w:r w:rsidR="00EF580C">
        <w:t xml:space="preserve"> </w:t>
      </w:r>
      <w:r w:rsidRPr="00B22B86">
        <w:t>proposed monitoring network</w:t>
      </w:r>
      <w:r w:rsidR="00EF580C">
        <w:t xml:space="preserve"> for </w:t>
      </w:r>
      <w:r w:rsidR="00C33D8A">
        <w:t xml:space="preserve">the </w:t>
      </w:r>
      <w:r w:rsidR="00EF580C">
        <w:t>Vina Subbasin</w:t>
      </w:r>
      <w:r w:rsidRPr="00B22B86">
        <w:t xml:space="preserve"> is shown in Figure 2.</w:t>
      </w:r>
      <w:r w:rsidR="00FE506D">
        <w:t xml:space="preserve"> </w:t>
      </w:r>
      <w:r w:rsidR="00FE32FF">
        <w:t xml:space="preserve">Of the </w:t>
      </w:r>
      <w:r w:rsidR="00FE32FF" w:rsidRPr="00FE32FF">
        <w:t xml:space="preserve">seventy-eight (78) </w:t>
      </w:r>
      <w:r w:rsidR="00FE32FF">
        <w:t>existing wells included in the groundwater level monitoring network (see</w:t>
      </w:r>
      <w:r w:rsidR="00FE32FF" w:rsidRPr="00FE32FF">
        <w:t xml:space="preserve"> </w:t>
      </w:r>
      <w:r w:rsidR="00FE32FF">
        <w:t xml:space="preserve">GSP </w:t>
      </w:r>
      <w:r w:rsidR="00FE32FF" w:rsidRPr="00FE32FF">
        <w:t>Section 4.2</w:t>
      </w:r>
      <w:r w:rsidR="00FE32FF">
        <w:t xml:space="preserve">), </w:t>
      </w:r>
      <w:r w:rsidR="00F70292">
        <w:t>Dr. Todd Greene’s analysis</w:t>
      </w:r>
      <w:r w:rsidR="00BC0353">
        <w:t xml:space="preserve"> </w:t>
      </w:r>
      <w:r w:rsidR="00F70292">
        <w:t>identified</w:t>
      </w:r>
      <w:r w:rsidR="00D16A46">
        <w:t xml:space="preserve"> </w:t>
      </w:r>
      <w:r w:rsidR="008B456B">
        <w:t>thirteen</w:t>
      </w:r>
      <w:r w:rsidR="00F70292">
        <w:t xml:space="preserve"> (</w:t>
      </w:r>
      <w:r w:rsidR="008B456B">
        <w:t>13</w:t>
      </w:r>
      <w:r w:rsidR="00F70292">
        <w:t>)</w:t>
      </w:r>
      <w:r w:rsidR="00FE32FF">
        <w:t xml:space="preserve"> as shallow</w:t>
      </w:r>
      <w:r w:rsidR="00D16A46">
        <w:t xml:space="preserve">. </w:t>
      </w:r>
      <w:r w:rsidR="00BC0353">
        <w:t xml:space="preserve">Shallow wells are screened in the upper and lower Quaternary deposits. </w:t>
      </w:r>
      <w:r w:rsidR="00D16A46">
        <w:t xml:space="preserve">These sites are </w:t>
      </w:r>
      <w:r w:rsidR="00F872A4">
        <w:t>summarized</w:t>
      </w:r>
      <w:r w:rsidR="00D16A46">
        <w:t xml:space="preserve"> in Table 1</w:t>
      </w:r>
      <w:r w:rsidR="00FE32FF">
        <w:t xml:space="preserve"> </w:t>
      </w:r>
      <w:r w:rsidR="00E838BE">
        <w:t>with h</w:t>
      </w:r>
      <w:r w:rsidR="00F872A4">
        <w:t>ydrographs</w:t>
      </w:r>
      <w:r w:rsidR="00FE32FF">
        <w:t xml:space="preserve"> </w:t>
      </w:r>
      <w:r w:rsidR="00F872A4">
        <w:t>provide</w:t>
      </w:r>
      <w:r w:rsidR="008A5DEC">
        <w:t xml:space="preserve">d </w:t>
      </w:r>
      <w:r w:rsidR="00F872A4">
        <w:t xml:space="preserve">in Appendix A. </w:t>
      </w:r>
    </w:p>
    <w:p w14:paraId="4383642C" w14:textId="15CE379B" w:rsidR="00A55BE2" w:rsidRPr="00BC0353" w:rsidRDefault="00A55BE2" w:rsidP="00A55BE2">
      <w:pPr>
        <w:pStyle w:val="Caption"/>
        <w:keepNext/>
        <w:rPr>
          <w:sz w:val="24"/>
          <w:szCs w:val="24"/>
        </w:rPr>
      </w:pPr>
      <w:r w:rsidRPr="00BC0353">
        <w:rPr>
          <w:sz w:val="24"/>
          <w:szCs w:val="24"/>
        </w:rPr>
        <w:t xml:space="preserve">Table </w:t>
      </w:r>
      <w:r w:rsidRPr="00BC0353">
        <w:rPr>
          <w:sz w:val="24"/>
          <w:szCs w:val="24"/>
        </w:rPr>
        <w:fldChar w:fldCharType="begin"/>
      </w:r>
      <w:r w:rsidRPr="00BC0353">
        <w:rPr>
          <w:sz w:val="24"/>
          <w:szCs w:val="24"/>
        </w:rPr>
        <w:instrText xml:space="preserve"> SEQ Table \* ARABIC </w:instrText>
      </w:r>
      <w:r w:rsidRPr="00BC0353">
        <w:rPr>
          <w:sz w:val="24"/>
          <w:szCs w:val="24"/>
        </w:rPr>
        <w:fldChar w:fldCharType="separate"/>
      </w:r>
      <w:r w:rsidRPr="00BC0353">
        <w:rPr>
          <w:noProof/>
          <w:sz w:val="24"/>
          <w:szCs w:val="24"/>
        </w:rPr>
        <w:t>1</w:t>
      </w:r>
      <w:r w:rsidRPr="00BC0353">
        <w:rPr>
          <w:sz w:val="24"/>
          <w:szCs w:val="24"/>
        </w:rPr>
        <w:fldChar w:fldCharType="end"/>
      </w:r>
      <w:r w:rsidRPr="00BC0353">
        <w:rPr>
          <w:sz w:val="24"/>
          <w:szCs w:val="24"/>
        </w:rPr>
        <w:t xml:space="preserve">.  </w:t>
      </w:r>
      <w:r w:rsidR="00A90954" w:rsidRPr="00BC0353">
        <w:rPr>
          <w:sz w:val="24"/>
          <w:szCs w:val="24"/>
        </w:rPr>
        <w:t xml:space="preserve">Existing </w:t>
      </w:r>
      <w:r w:rsidR="00BC0353">
        <w:rPr>
          <w:sz w:val="24"/>
          <w:szCs w:val="24"/>
        </w:rPr>
        <w:t xml:space="preserve">representative </w:t>
      </w:r>
      <w:r w:rsidR="00A90954" w:rsidRPr="00BC0353">
        <w:rPr>
          <w:sz w:val="24"/>
          <w:szCs w:val="24"/>
        </w:rPr>
        <w:t>monitoring wells</w:t>
      </w:r>
      <w:r w:rsidR="00BC0353">
        <w:rPr>
          <w:sz w:val="24"/>
          <w:szCs w:val="24"/>
        </w:rPr>
        <w:t xml:space="preserve"> measuring</w:t>
      </w:r>
      <w:r w:rsidR="00A90954" w:rsidRPr="00BC0353">
        <w:rPr>
          <w:sz w:val="24"/>
          <w:szCs w:val="24"/>
        </w:rPr>
        <w:t xml:space="preserve"> groundwater levels in the </w:t>
      </w:r>
      <w:r w:rsidR="0041461D">
        <w:rPr>
          <w:sz w:val="24"/>
          <w:szCs w:val="24"/>
        </w:rPr>
        <w:t>u</w:t>
      </w:r>
      <w:r w:rsidR="00A90954" w:rsidRPr="00BC0353">
        <w:rPr>
          <w:sz w:val="24"/>
          <w:szCs w:val="24"/>
        </w:rPr>
        <w:t xml:space="preserve">pper </w:t>
      </w:r>
      <w:r w:rsidR="0041461D">
        <w:rPr>
          <w:sz w:val="24"/>
          <w:szCs w:val="24"/>
        </w:rPr>
        <w:t>a</w:t>
      </w:r>
      <w:r w:rsidR="00A90954" w:rsidRPr="00BC0353">
        <w:rPr>
          <w:sz w:val="24"/>
          <w:szCs w:val="24"/>
        </w:rPr>
        <w:t>quifer.</w:t>
      </w:r>
      <w:r w:rsidR="00B57BC1">
        <w:rPr>
          <w:sz w:val="24"/>
          <w:szCs w:val="24"/>
        </w:rPr>
        <w:t xml:space="preserve"> Continuous sites are equipped with sensors. Monthly sites are measured each month, if feasible, by DWR  or Butte County. </w:t>
      </w:r>
    </w:p>
    <w:tbl>
      <w:tblPr>
        <w:tblW w:w="7915" w:type="dxa"/>
        <w:jc w:val="center"/>
        <w:tblLook w:val="04A0" w:firstRow="1" w:lastRow="0" w:firstColumn="1" w:lastColumn="0" w:noHBand="0" w:noVBand="1"/>
      </w:tblPr>
      <w:tblGrid>
        <w:gridCol w:w="2335"/>
        <w:gridCol w:w="1350"/>
        <w:gridCol w:w="1980"/>
        <w:gridCol w:w="2250"/>
      </w:tblGrid>
      <w:tr w:rsidR="00F524D8" w:rsidRPr="00BC0353" w14:paraId="18A04164" w14:textId="77777777" w:rsidTr="00F524D8">
        <w:trPr>
          <w:trHeight w:val="290"/>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CBDDD8" w:themeFill="accent6" w:themeFillTint="66"/>
            <w:vAlign w:val="center"/>
            <w:hideMark/>
          </w:tcPr>
          <w:p w14:paraId="37BEF9B7" w14:textId="56B68E5C" w:rsidR="00F524D8" w:rsidRPr="00BC0353" w:rsidRDefault="00F524D8" w:rsidP="00A90954">
            <w:pPr>
              <w:spacing w:after="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SWN / </w:t>
            </w:r>
            <w:r w:rsidRPr="00BC0353">
              <w:rPr>
                <w:rFonts w:asciiTheme="minorHAnsi" w:hAnsiTheme="minorHAnsi" w:cstheme="minorHAnsi"/>
                <w:b/>
                <w:bCs/>
                <w:color w:val="000000"/>
                <w:sz w:val="22"/>
                <w:szCs w:val="22"/>
              </w:rPr>
              <w:t>Map Label</w:t>
            </w:r>
          </w:p>
        </w:tc>
        <w:tc>
          <w:tcPr>
            <w:tcW w:w="1350" w:type="dxa"/>
            <w:tcBorders>
              <w:top w:val="single" w:sz="4" w:space="0" w:color="000000"/>
              <w:left w:val="nil"/>
              <w:bottom w:val="single" w:sz="4" w:space="0" w:color="000000"/>
              <w:right w:val="single" w:sz="4" w:space="0" w:color="000000"/>
            </w:tcBorders>
            <w:shd w:val="clear" w:color="auto" w:fill="CBDDD8" w:themeFill="accent6" w:themeFillTint="66"/>
            <w:vAlign w:val="center"/>
            <w:hideMark/>
          </w:tcPr>
          <w:p w14:paraId="347EA0DF" w14:textId="77777777" w:rsidR="00F524D8" w:rsidRPr="00BC0353" w:rsidRDefault="00F524D8" w:rsidP="00A90954">
            <w:pPr>
              <w:spacing w:after="0"/>
              <w:jc w:val="center"/>
              <w:rPr>
                <w:rFonts w:asciiTheme="minorHAnsi" w:hAnsiTheme="minorHAnsi" w:cstheme="minorHAnsi"/>
                <w:b/>
                <w:bCs/>
                <w:color w:val="000000"/>
                <w:sz w:val="22"/>
                <w:szCs w:val="22"/>
              </w:rPr>
            </w:pPr>
            <w:r w:rsidRPr="00BC0353">
              <w:rPr>
                <w:rFonts w:asciiTheme="minorHAnsi" w:hAnsiTheme="minorHAnsi" w:cstheme="minorHAnsi"/>
                <w:b/>
                <w:bCs/>
                <w:color w:val="000000"/>
                <w:sz w:val="22"/>
                <w:szCs w:val="22"/>
              </w:rPr>
              <w:t>Monitoring Frequency</w:t>
            </w:r>
          </w:p>
        </w:tc>
        <w:tc>
          <w:tcPr>
            <w:tcW w:w="1980" w:type="dxa"/>
            <w:tcBorders>
              <w:top w:val="single" w:sz="4" w:space="0" w:color="000000"/>
              <w:left w:val="nil"/>
              <w:bottom w:val="single" w:sz="4" w:space="0" w:color="000000"/>
              <w:right w:val="nil"/>
            </w:tcBorders>
            <w:shd w:val="clear" w:color="auto" w:fill="CBDDD8" w:themeFill="accent6" w:themeFillTint="66"/>
            <w:vAlign w:val="center"/>
            <w:hideMark/>
          </w:tcPr>
          <w:p w14:paraId="6AB726DA" w14:textId="77777777" w:rsidR="00F524D8" w:rsidRPr="00BC0353" w:rsidRDefault="00F524D8" w:rsidP="00A90954">
            <w:pPr>
              <w:spacing w:after="0"/>
              <w:jc w:val="center"/>
              <w:rPr>
                <w:rFonts w:asciiTheme="minorHAnsi" w:hAnsiTheme="minorHAnsi" w:cstheme="minorHAnsi"/>
                <w:b/>
                <w:bCs/>
                <w:color w:val="000000"/>
                <w:sz w:val="22"/>
                <w:szCs w:val="22"/>
              </w:rPr>
            </w:pPr>
            <w:r w:rsidRPr="00BC0353">
              <w:rPr>
                <w:rFonts w:asciiTheme="minorHAnsi" w:hAnsiTheme="minorHAnsi" w:cstheme="minorHAnsi"/>
                <w:b/>
                <w:bCs/>
                <w:color w:val="000000"/>
                <w:sz w:val="22"/>
                <w:szCs w:val="22"/>
              </w:rPr>
              <w:t>Well Type</w:t>
            </w:r>
          </w:p>
        </w:tc>
        <w:tc>
          <w:tcPr>
            <w:tcW w:w="2250" w:type="dxa"/>
            <w:tcBorders>
              <w:top w:val="single" w:sz="4" w:space="0" w:color="auto"/>
              <w:left w:val="single" w:sz="4" w:space="0" w:color="auto"/>
              <w:bottom w:val="single" w:sz="4" w:space="0" w:color="auto"/>
              <w:right w:val="single" w:sz="4" w:space="0" w:color="auto"/>
            </w:tcBorders>
            <w:shd w:val="clear" w:color="auto" w:fill="CBDDD8" w:themeFill="accent6" w:themeFillTint="66"/>
            <w:vAlign w:val="center"/>
            <w:hideMark/>
          </w:tcPr>
          <w:p w14:paraId="0F5A5CA1" w14:textId="248DE983" w:rsidR="00F524D8" w:rsidRPr="00BC0353" w:rsidRDefault="00F524D8" w:rsidP="00A90954">
            <w:pPr>
              <w:spacing w:after="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Collecting Agency</w:t>
            </w:r>
          </w:p>
        </w:tc>
      </w:tr>
      <w:tr w:rsidR="00F524D8" w:rsidRPr="00BC0353" w14:paraId="794F3A4C"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56F955F2" w14:textId="429DE98D"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23N01W09E001M (1)</w:t>
            </w:r>
          </w:p>
        </w:tc>
        <w:tc>
          <w:tcPr>
            <w:tcW w:w="1350" w:type="dxa"/>
            <w:tcBorders>
              <w:top w:val="nil"/>
              <w:left w:val="nil"/>
              <w:bottom w:val="single" w:sz="4" w:space="0" w:color="000000"/>
              <w:right w:val="single" w:sz="4" w:space="0" w:color="000000"/>
            </w:tcBorders>
            <w:shd w:val="clear" w:color="auto" w:fill="auto"/>
            <w:vAlign w:val="center"/>
            <w:hideMark/>
          </w:tcPr>
          <w:p w14:paraId="3662FCBB" w14:textId="7EECD40D"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5534E45C"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Irrigation</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2987E5" w14:textId="1DF46E93"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4429BF7A"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6F7C7B34" w14:textId="3F15974C"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23N01W28M005M (2)</w:t>
            </w:r>
          </w:p>
        </w:tc>
        <w:tc>
          <w:tcPr>
            <w:tcW w:w="1350" w:type="dxa"/>
            <w:tcBorders>
              <w:top w:val="nil"/>
              <w:left w:val="nil"/>
              <w:bottom w:val="single" w:sz="4" w:space="0" w:color="000000"/>
              <w:right w:val="single" w:sz="4" w:space="0" w:color="000000"/>
            </w:tcBorders>
            <w:shd w:val="clear" w:color="auto" w:fill="auto"/>
            <w:vAlign w:val="center"/>
            <w:hideMark/>
          </w:tcPr>
          <w:p w14:paraId="158F7500" w14:textId="2C34D45B"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Continuous</w:t>
            </w:r>
            <w:r>
              <w:rPr>
                <w:rFonts w:asciiTheme="minorHAnsi" w:hAnsiTheme="minorHAnsi" w:cstheme="minorHAnsi"/>
                <w:color w:val="000000"/>
                <w:sz w:val="22"/>
                <w:szCs w:val="22"/>
              </w:rPr>
              <w:t xml:space="preserve"> / Monthly</w:t>
            </w:r>
          </w:p>
        </w:tc>
        <w:tc>
          <w:tcPr>
            <w:tcW w:w="1980" w:type="dxa"/>
            <w:tcBorders>
              <w:top w:val="nil"/>
              <w:left w:val="nil"/>
              <w:bottom w:val="single" w:sz="4" w:space="0" w:color="000000"/>
              <w:right w:val="nil"/>
            </w:tcBorders>
            <w:shd w:val="clear" w:color="auto" w:fill="auto"/>
            <w:vAlign w:val="center"/>
            <w:hideMark/>
          </w:tcPr>
          <w:p w14:paraId="75D5E105"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Observation</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9267A2C" w14:textId="2A351D2A"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1D7AE2AD"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10A38ED4" w14:textId="3A5A069E"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23N01W27L001M (3)</w:t>
            </w:r>
          </w:p>
        </w:tc>
        <w:tc>
          <w:tcPr>
            <w:tcW w:w="1350" w:type="dxa"/>
            <w:tcBorders>
              <w:top w:val="nil"/>
              <w:left w:val="nil"/>
              <w:bottom w:val="single" w:sz="4" w:space="0" w:color="000000"/>
              <w:right w:val="single" w:sz="4" w:space="0" w:color="000000"/>
            </w:tcBorders>
            <w:shd w:val="clear" w:color="auto" w:fill="auto"/>
            <w:vAlign w:val="center"/>
            <w:hideMark/>
          </w:tcPr>
          <w:p w14:paraId="6DAB16E2" w14:textId="69EAF9D3"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3FA647B5"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Residential</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19CA83" w14:textId="2E6410D7"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3A9172AC"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0E56CD95" w14:textId="2ABCA43B"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23N01W31M004M (4)</w:t>
            </w:r>
          </w:p>
        </w:tc>
        <w:tc>
          <w:tcPr>
            <w:tcW w:w="1350" w:type="dxa"/>
            <w:tcBorders>
              <w:top w:val="nil"/>
              <w:left w:val="nil"/>
              <w:bottom w:val="single" w:sz="4" w:space="0" w:color="000000"/>
              <w:right w:val="single" w:sz="4" w:space="0" w:color="000000"/>
            </w:tcBorders>
            <w:shd w:val="clear" w:color="auto" w:fill="auto"/>
            <w:vAlign w:val="center"/>
            <w:hideMark/>
          </w:tcPr>
          <w:p w14:paraId="33199297" w14:textId="29F8AA69"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Continuous</w:t>
            </w:r>
            <w:r>
              <w:rPr>
                <w:rFonts w:asciiTheme="minorHAnsi" w:hAnsiTheme="minorHAnsi" w:cstheme="minorHAnsi"/>
                <w:color w:val="000000"/>
                <w:sz w:val="22"/>
                <w:szCs w:val="22"/>
              </w:rPr>
              <w:t xml:space="preserve"> / Monthly</w:t>
            </w:r>
          </w:p>
        </w:tc>
        <w:tc>
          <w:tcPr>
            <w:tcW w:w="1980" w:type="dxa"/>
            <w:tcBorders>
              <w:top w:val="nil"/>
              <w:left w:val="nil"/>
              <w:bottom w:val="single" w:sz="4" w:space="0" w:color="000000"/>
              <w:right w:val="nil"/>
            </w:tcBorders>
            <w:shd w:val="clear" w:color="auto" w:fill="auto"/>
            <w:vAlign w:val="center"/>
            <w:hideMark/>
          </w:tcPr>
          <w:p w14:paraId="25753B56"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Observation</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D72075E" w14:textId="63AB3E4C"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4205A9F4"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78E8FBEF" w14:textId="21F53431"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22N01E20K001M (5)</w:t>
            </w:r>
          </w:p>
        </w:tc>
        <w:tc>
          <w:tcPr>
            <w:tcW w:w="1350" w:type="dxa"/>
            <w:tcBorders>
              <w:top w:val="nil"/>
              <w:left w:val="nil"/>
              <w:bottom w:val="single" w:sz="4" w:space="0" w:color="000000"/>
              <w:right w:val="single" w:sz="4" w:space="0" w:color="000000"/>
            </w:tcBorders>
            <w:shd w:val="clear" w:color="auto" w:fill="auto"/>
            <w:vAlign w:val="center"/>
            <w:hideMark/>
          </w:tcPr>
          <w:p w14:paraId="1D15FCA8" w14:textId="5E913AC3"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2FFDE008"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Residential</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9886E8B" w14:textId="7DE8D0CA"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19F189FF"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6E55DF36" w14:textId="56DFFD96"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21N01E27D001M (6)</w:t>
            </w:r>
          </w:p>
        </w:tc>
        <w:tc>
          <w:tcPr>
            <w:tcW w:w="1350" w:type="dxa"/>
            <w:tcBorders>
              <w:top w:val="nil"/>
              <w:left w:val="nil"/>
              <w:bottom w:val="single" w:sz="4" w:space="0" w:color="000000"/>
              <w:right w:val="single" w:sz="4" w:space="0" w:color="000000"/>
            </w:tcBorders>
            <w:shd w:val="clear" w:color="auto" w:fill="auto"/>
            <w:vAlign w:val="center"/>
            <w:hideMark/>
          </w:tcPr>
          <w:p w14:paraId="6F611832" w14:textId="11B64C3A"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02ED2BAA"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Residential</w:t>
            </w:r>
          </w:p>
        </w:tc>
        <w:tc>
          <w:tcPr>
            <w:tcW w:w="2250" w:type="dxa"/>
            <w:tcBorders>
              <w:top w:val="nil"/>
              <w:left w:val="single" w:sz="4" w:space="0" w:color="auto"/>
              <w:bottom w:val="single" w:sz="4" w:space="0" w:color="auto"/>
              <w:right w:val="single" w:sz="4" w:space="0" w:color="auto"/>
            </w:tcBorders>
            <w:shd w:val="clear" w:color="auto" w:fill="auto"/>
            <w:vAlign w:val="center"/>
            <w:hideMark/>
          </w:tcPr>
          <w:p w14:paraId="5FB0BA8D" w14:textId="518083BE"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79331888"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6247ACCA" w14:textId="6A104FC3"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21N01E28F001M (7)</w:t>
            </w:r>
          </w:p>
        </w:tc>
        <w:tc>
          <w:tcPr>
            <w:tcW w:w="1350" w:type="dxa"/>
            <w:tcBorders>
              <w:top w:val="nil"/>
              <w:left w:val="nil"/>
              <w:bottom w:val="single" w:sz="4" w:space="0" w:color="000000"/>
              <w:right w:val="single" w:sz="4" w:space="0" w:color="000000"/>
            </w:tcBorders>
            <w:shd w:val="clear" w:color="auto" w:fill="auto"/>
            <w:vAlign w:val="center"/>
            <w:hideMark/>
          </w:tcPr>
          <w:p w14:paraId="72BCA137" w14:textId="4FA0C3F5"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0D0B9909"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Irrigation</w:t>
            </w:r>
          </w:p>
        </w:tc>
        <w:tc>
          <w:tcPr>
            <w:tcW w:w="2250" w:type="dxa"/>
            <w:tcBorders>
              <w:top w:val="nil"/>
              <w:left w:val="single" w:sz="4" w:space="0" w:color="auto"/>
              <w:bottom w:val="single" w:sz="4" w:space="0" w:color="auto"/>
              <w:right w:val="single" w:sz="4" w:space="0" w:color="auto"/>
            </w:tcBorders>
            <w:shd w:val="clear" w:color="auto" w:fill="auto"/>
            <w:vAlign w:val="center"/>
            <w:hideMark/>
          </w:tcPr>
          <w:p w14:paraId="10FA9BAE" w14:textId="362E7E24"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4CF3AC4D" w14:textId="77777777" w:rsidTr="00F524D8">
        <w:trPr>
          <w:trHeight w:val="290"/>
          <w:jc w:val="center"/>
        </w:trPr>
        <w:tc>
          <w:tcPr>
            <w:tcW w:w="2335" w:type="dxa"/>
            <w:tcBorders>
              <w:top w:val="nil"/>
              <w:left w:val="single" w:sz="4" w:space="0" w:color="000000"/>
              <w:bottom w:val="single" w:sz="4" w:space="0" w:color="000000"/>
              <w:right w:val="single" w:sz="4" w:space="0" w:color="000000"/>
            </w:tcBorders>
            <w:shd w:val="clear" w:color="auto" w:fill="auto"/>
            <w:vAlign w:val="center"/>
            <w:hideMark/>
          </w:tcPr>
          <w:p w14:paraId="38410DB2" w14:textId="0ED0D7BD"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21N01E25K001M (8)</w:t>
            </w:r>
          </w:p>
        </w:tc>
        <w:tc>
          <w:tcPr>
            <w:tcW w:w="1350" w:type="dxa"/>
            <w:tcBorders>
              <w:top w:val="nil"/>
              <w:left w:val="nil"/>
              <w:bottom w:val="single" w:sz="4" w:space="0" w:color="000000"/>
              <w:right w:val="single" w:sz="4" w:space="0" w:color="000000"/>
            </w:tcBorders>
            <w:shd w:val="clear" w:color="auto" w:fill="auto"/>
            <w:vAlign w:val="center"/>
            <w:hideMark/>
          </w:tcPr>
          <w:p w14:paraId="32B73BE8" w14:textId="33315954"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000000"/>
              <w:right w:val="nil"/>
            </w:tcBorders>
            <w:shd w:val="clear" w:color="auto" w:fill="auto"/>
            <w:vAlign w:val="center"/>
            <w:hideMark/>
          </w:tcPr>
          <w:p w14:paraId="2AA2CB69"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Residential</w:t>
            </w:r>
          </w:p>
        </w:tc>
        <w:tc>
          <w:tcPr>
            <w:tcW w:w="2250" w:type="dxa"/>
            <w:tcBorders>
              <w:top w:val="nil"/>
              <w:left w:val="single" w:sz="4" w:space="0" w:color="auto"/>
              <w:bottom w:val="single" w:sz="4" w:space="0" w:color="auto"/>
              <w:right w:val="single" w:sz="4" w:space="0" w:color="auto"/>
            </w:tcBorders>
            <w:shd w:val="clear" w:color="auto" w:fill="auto"/>
            <w:vAlign w:val="center"/>
            <w:hideMark/>
          </w:tcPr>
          <w:p w14:paraId="42623763" w14:textId="03553686"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2D0B1974" w14:textId="77777777" w:rsidTr="00F524D8">
        <w:trPr>
          <w:trHeight w:val="290"/>
          <w:jc w:val="center"/>
        </w:trPr>
        <w:tc>
          <w:tcPr>
            <w:tcW w:w="2335" w:type="dxa"/>
            <w:tcBorders>
              <w:top w:val="nil"/>
              <w:left w:val="single" w:sz="4" w:space="0" w:color="000000"/>
              <w:bottom w:val="single" w:sz="4" w:space="0" w:color="auto"/>
              <w:right w:val="single" w:sz="4" w:space="0" w:color="000000"/>
            </w:tcBorders>
            <w:shd w:val="clear" w:color="auto" w:fill="auto"/>
            <w:vAlign w:val="center"/>
            <w:hideMark/>
          </w:tcPr>
          <w:p w14:paraId="3B25EFEC" w14:textId="6BF28903"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21N02E32E001M (9)</w:t>
            </w:r>
          </w:p>
        </w:tc>
        <w:tc>
          <w:tcPr>
            <w:tcW w:w="1350" w:type="dxa"/>
            <w:tcBorders>
              <w:top w:val="nil"/>
              <w:left w:val="nil"/>
              <w:bottom w:val="single" w:sz="4" w:space="0" w:color="auto"/>
              <w:right w:val="single" w:sz="4" w:space="0" w:color="000000"/>
            </w:tcBorders>
            <w:shd w:val="clear" w:color="auto" w:fill="auto"/>
            <w:vAlign w:val="center"/>
            <w:hideMark/>
          </w:tcPr>
          <w:p w14:paraId="3972046E" w14:textId="7042B678"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nil"/>
              <w:left w:val="nil"/>
              <w:bottom w:val="single" w:sz="4" w:space="0" w:color="auto"/>
              <w:right w:val="nil"/>
            </w:tcBorders>
            <w:shd w:val="clear" w:color="auto" w:fill="auto"/>
            <w:vAlign w:val="center"/>
            <w:hideMark/>
          </w:tcPr>
          <w:p w14:paraId="124C7643" w14:textId="77777777"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Irrigation</w:t>
            </w: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A6197D9" w14:textId="422373E7"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2251C2F8" w14:textId="77777777" w:rsidTr="00F524D8">
        <w:trPr>
          <w:trHeight w:val="290"/>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5329B4DC" w14:textId="3DF5F464" w:rsidR="00F524D8" w:rsidRPr="00BC0353" w:rsidRDefault="00F524D8" w:rsidP="008B456B">
            <w:pPr>
              <w:spacing w:after="0"/>
              <w:jc w:val="center"/>
              <w:rPr>
                <w:rFonts w:asciiTheme="minorHAnsi" w:hAnsiTheme="minorHAnsi" w:cstheme="minorHAnsi"/>
                <w:color w:val="000000"/>
                <w:sz w:val="22"/>
                <w:szCs w:val="22"/>
              </w:rPr>
            </w:pPr>
            <w:r w:rsidRPr="008B456B">
              <w:rPr>
                <w:rFonts w:asciiTheme="minorHAnsi" w:hAnsiTheme="minorHAnsi" w:cstheme="minorHAnsi"/>
                <w:color w:val="000000"/>
                <w:sz w:val="22"/>
                <w:szCs w:val="22"/>
              </w:rPr>
              <w:t>23N01W14R002M</w:t>
            </w:r>
            <w:r>
              <w:rPr>
                <w:rFonts w:asciiTheme="minorHAnsi" w:hAnsiTheme="minorHAnsi" w:cstheme="minorHAnsi"/>
                <w:color w:val="000000"/>
                <w:sz w:val="22"/>
                <w:szCs w:val="22"/>
              </w:rPr>
              <w:t xml:space="preserve"> (10)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20C3A30" w14:textId="486F3153"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AD32188" w14:textId="43AEB7B9"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Irrigation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361" w14:textId="3FC55AE1"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04A4275B" w14:textId="77777777" w:rsidTr="00F524D8">
        <w:trPr>
          <w:trHeight w:val="290"/>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35B15672" w14:textId="4DD133B1" w:rsidR="00F524D8" w:rsidRPr="00BC0353" w:rsidRDefault="00F524D8" w:rsidP="00A90954">
            <w:pPr>
              <w:spacing w:after="0"/>
              <w:jc w:val="center"/>
              <w:rPr>
                <w:rFonts w:asciiTheme="minorHAnsi" w:hAnsiTheme="minorHAnsi" w:cstheme="minorHAnsi"/>
                <w:color w:val="000000"/>
                <w:sz w:val="22"/>
                <w:szCs w:val="22"/>
              </w:rPr>
            </w:pPr>
            <w:r w:rsidRPr="008B456B">
              <w:rPr>
                <w:rFonts w:asciiTheme="minorHAnsi" w:hAnsiTheme="minorHAnsi" w:cstheme="minorHAnsi"/>
                <w:color w:val="000000"/>
                <w:sz w:val="22"/>
                <w:szCs w:val="22"/>
              </w:rPr>
              <w:t>23N01W36P001M</w:t>
            </w:r>
            <w:r>
              <w:rPr>
                <w:rFonts w:asciiTheme="minorHAnsi" w:hAnsiTheme="minorHAnsi" w:cstheme="minorHAnsi"/>
                <w:color w:val="000000"/>
                <w:sz w:val="22"/>
                <w:szCs w:val="22"/>
              </w:rPr>
              <w:t xml:space="preserve"> (11)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4E2FA6" w14:textId="7B989BFC"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2EB4E8F" w14:textId="1C6D79D7"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Residential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1AC19" w14:textId="43E93535"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2565794B" w14:textId="77777777" w:rsidTr="00F524D8">
        <w:trPr>
          <w:trHeight w:val="290"/>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28869398" w14:textId="689D2B29" w:rsidR="00F524D8" w:rsidRPr="00BC0353" w:rsidRDefault="00F524D8" w:rsidP="00A90954">
            <w:pPr>
              <w:spacing w:after="0"/>
              <w:jc w:val="center"/>
              <w:rPr>
                <w:rFonts w:asciiTheme="minorHAnsi" w:hAnsiTheme="minorHAnsi" w:cstheme="minorHAnsi"/>
                <w:color w:val="000000"/>
                <w:sz w:val="22"/>
                <w:szCs w:val="22"/>
              </w:rPr>
            </w:pPr>
            <w:r w:rsidRPr="008B456B">
              <w:rPr>
                <w:rFonts w:asciiTheme="minorHAnsi" w:hAnsiTheme="minorHAnsi" w:cstheme="minorHAnsi"/>
                <w:color w:val="000000"/>
                <w:sz w:val="22"/>
                <w:szCs w:val="22"/>
              </w:rPr>
              <w:t>22N01E09B001M</w:t>
            </w:r>
            <w:r>
              <w:rPr>
                <w:rFonts w:asciiTheme="minorHAnsi" w:hAnsiTheme="minorHAnsi" w:cstheme="minorHAnsi"/>
                <w:color w:val="000000"/>
                <w:sz w:val="22"/>
                <w:szCs w:val="22"/>
              </w:rPr>
              <w:t xml:space="preserve"> (12)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DD8F746" w14:textId="324D3925"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Monthly</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0C34C26" w14:textId="451031FD"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Residential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CEE79" w14:textId="2268F43A"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r w:rsidR="00F524D8" w:rsidRPr="00BC0353" w14:paraId="4A8B0ACA" w14:textId="77777777" w:rsidTr="00F524D8">
        <w:trPr>
          <w:trHeight w:val="290"/>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7DEC6AF9" w14:textId="6D3C5CBF" w:rsidR="00F524D8" w:rsidRPr="00BC0353" w:rsidRDefault="00F524D8" w:rsidP="00A90954">
            <w:pPr>
              <w:spacing w:after="0"/>
              <w:jc w:val="center"/>
              <w:rPr>
                <w:rFonts w:asciiTheme="minorHAnsi" w:hAnsiTheme="minorHAnsi" w:cstheme="minorHAnsi"/>
                <w:color w:val="000000"/>
                <w:sz w:val="22"/>
                <w:szCs w:val="22"/>
              </w:rPr>
            </w:pPr>
            <w:r w:rsidRPr="008B456B">
              <w:rPr>
                <w:rFonts w:asciiTheme="minorHAnsi" w:hAnsiTheme="minorHAnsi" w:cstheme="minorHAnsi"/>
                <w:color w:val="000000"/>
                <w:sz w:val="22"/>
                <w:szCs w:val="22"/>
              </w:rPr>
              <w:t>22N02E30C002M</w:t>
            </w:r>
            <w:r>
              <w:rPr>
                <w:rFonts w:asciiTheme="minorHAnsi" w:hAnsiTheme="minorHAnsi" w:cstheme="minorHAnsi"/>
                <w:color w:val="000000"/>
                <w:sz w:val="22"/>
                <w:szCs w:val="22"/>
              </w:rPr>
              <w:t xml:space="preserve"> (13)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D0C94A" w14:textId="599D6A92"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Continuous / Monthly</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F0BC40C" w14:textId="506C6232" w:rsidR="00F524D8" w:rsidRPr="00BC0353" w:rsidRDefault="00F524D8" w:rsidP="00A90954">
            <w:pPr>
              <w:spacing w:after="0"/>
              <w:jc w:val="center"/>
              <w:rPr>
                <w:rFonts w:asciiTheme="minorHAnsi" w:hAnsiTheme="minorHAnsi" w:cstheme="minorHAnsi"/>
                <w:color w:val="000000"/>
                <w:sz w:val="22"/>
                <w:szCs w:val="22"/>
              </w:rPr>
            </w:pPr>
            <w:r w:rsidRPr="00BC0353">
              <w:rPr>
                <w:rFonts w:asciiTheme="minorHAnsi" w:hAnsiTheme="minorHAnsi" w:cstheme="minorHAnsi"/>
                <w:color w:val="000000"/>
                <w:sz w:val="22"/>
                <w:szCs w:val="22"/>
              </w:rPr>
              <w:t>Observation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CEB49" w14:textId="7A9B58DE" w:rsidR="00F524D8" w:rsidRPr="00BC0353" w:rsidRDefault="00F524D8" w:rsidP="00A90954">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Butte County / DWR</w:t>
            </w:r>
          </w:p>
        </w:tc>
      </w:tr>
    </w:tbl>
    <w:p w14:paraId="6F38331C" w14:textId="77777777" w:rsidR="00EF580C" w:rsidRDefault="00EF580C"/>
    <w:p w14:paraId="5F00E592" w14:textId="3B69EC66" w:rsidR="00E838BE" w:rsidRDefault="0041461D">
      <w:r>
        <w:t>As illustrated on Figure 2, t</w:t>
      </w:r>
      <w:r w:rsidR="00E838BE" w:rsidRPr="00E838BE">
        <w:t xml:space="preserve">he long-term goal for the shallow monitoring network is to </w:t>
      </w:r>
      <w:r w:rsidR="00C45A83" w:rsidRPr="00E838BE">
        <w:t>install wells</w:t>
      </w:r>
      <w:r w:rsidR="00BC0353">
        <w:t xml:space="preserve"> near</w:t>
      </w:r>
      <w:r w:rsidR="00E838BE">
        <w:t xml:space="preserve"> streams and potential GDEs </w:t>
      </w:r>
      <w:r w:rsidR="00E838BE" w:rsidRPr="00E838BE">
        <w:t xml:space="preserve">in areas </w:t>
      </w:r>
      <w:r>
        <w:t>delineated with</w:t>
      </w:r>
      <w:r w:rsidR="00E838BE" w:rsidRPr="00E838BE">
        <w:t xml:space="preserve"> blue circle</w:t>
      </w:r>
      <w:r>
        <w:t>s</w:t>
      </w:r>
      <w:r w:rsidR="00E838BE" w:rsidRPr="00E838BE">
        <w:t>, indicating high priority locations, and orange squares, indicating lower priority locations. The high priority monitoring sites are located along Big Chico Creek, Butte Creek, Mud Creek, and Lindo Channel. shallow well will be installed at</w:t>
      </w:r>
      <w:r w:rsidR="008A5DEC">
        <w:t xml:space="preserve"> the</w:t>
      </w:r>
      <w:r w:rsidR="00E838BE" w:rsidRPr="00E838BE">
        <w:t xml:space="preserve"> nine (9) high priority locations under the SGM Grant pending review of other existing shallow monitoring wells in the area (e.g., City of Chico nitrate monitoring wells) that may be used instead of drilling a new well. Additional shallow wells will be installed in areas identified by the orange squares as funding allows.</w:t>
      </w:r>
    </w:p>
    <w:p w14:paraId="50162D54" w14:textId="01F46D5B" w:rsidR="00C10B94" w:rsidRDefault="00E838BE">
      <w:r>
        <w:t>A multi-completion well is proposed at site</w:t>
      </w:r>
      <w:r w:rsidR="0041461D">
        <w:t xml:space="preserve"> labeled</w:t>
      </w:r>
      <w:r>
        <w:t xml:space="preserve"> M1 as illustrated on Figure 2. This location is not covered by an existing monitoring well, located along a section of Pine Creek that transitions from a gaining and losing stream</w:t>
      </w:r>
      <w:r w:rsidR="00C10B94">
        <w:t xml:space="preserve"> according to the Butte Basin Groundwater Model</w:t>
      </w:r>
      <w:r>
        <w:t xml:space="preserve">, </w:t>
      </w:r>
      <w:r>
        <w:lastRenderedPageBreak/>
        <w:t>surrounded by agricultural pumping, and located to the west of an area with a significant number of domestic wells.</w:t>
      </w:r>
    </w:p>
    <w:p w14:paraId="6A5A13D1" w14:textId="1296CA28" w:rsidR="00B65873" w:rsidRDefault="00C10B94">
      <w:r>
        <w:t>It is recommended to install three stream gages along Big Chico, Little Chico, and Butte Creek</w:t>
      </w:r>
      <w:r w:rsidR="0041461D">
        <w:t>s</w:t>
      </w:r>
      <w:r>
        <w:t xml:space="preserve"> with SGM grant</w:t>
      </w:r>
      <w:r w:rsidR="0041461D">
        <w:t xml:space="preserve"> funding</w:t>
      </w:r>
      <w:r>
        <w:t xml:space="preserve">. Additional stream gages </w:t>
      </w:r>
      <w:r w:rsidR="0041461D">
        <w:t xml:space="preserve">along Pine, Rock, Camanche, and Dry Creeks and Hamlin Slough </w:t>
      </w:r>
      <w:r>
        <w:t xml:space="preserve">may be installed with </w:t>
      </w:r>
      <w:r w:rsidR="0041461D">
        <w:t xml:space="preserve">CalSIP </w:t>
      </w:r>
      <w:r>
        <w:t>funding</w:t>
      </w:r>
      <w:r w:rsidR="00414A5C">
        <w:t xml:space="preserve"> (see purple circles on Figure 2)</w:t>
      </w:r>
      <w:r w:rsidR="0041461D">
        <w:t xml:space="preserve">. </w:t>
      </w:r>
      <w:r w:rsidR="00414A5C">
        <w:t>A</w:t>
      </w:r>
      <w:r w:rsidR="008A5DEC">
        <w:t xml:space="preserve"> long-term goal is to measure </w:t>
      </w:r>
      <w:r w:rsidR="006D7E1E">
        <w:t>near ISWs and GDEs</w:t>
      </w:r>
      <w:r w:rsidR="006D7E1E">
        <w:t xml:space="preserve"> and</w:t>
      </w:r>
      <w:r w:rsidR="006D7E1E">
        <w:t xml:space="preserve"> </w:t>
      </w:r>
      <w:r w:rsidR="00414A5C">
        <w:t>water</w:t>
      </w:r>
      <w:r w:rsidR="008A5DEC">
        <w:t xml:space="preserve"> entering and leaving the Subbasin through strea</w:t>
      </w:r>
      <w:r w:rsidR="006D7E1E">
        <w:t xml:space="preserve">ms.  </w:t>
      </w:r>
      <w:r w:rsidR="00B65873">
        <w:br w:type="page"/>
      </w:r>
    </w:p>
    <w:p w14:paraId="79335B2A" w14:textId="77777777" w:rsidR="00B65873" w:rsidRDefault="00B65873">
      <w:pPr>
        <w:sectPr w:rsidR="00B65873">
          <w:pgSz w:w="12240" w:h="15840"/>
          <w:pgMar w:top="1440" w:right="1440" w:bottom="1440" w:left="1440" w:header="720" w:footer="432" w:gutter="0"/>
          <w:cols w:space="720"/>
        </w:sectPr>
      </w:pPr>
    </w:p>
    <w:p w14:paraId="5D3242E5" w14:textId="4ED9E2F3" w:rsidR="008B456B" w:rsidRPr="008B456B" w:rsidRDefault="00FE32FF" w:rsidP="008B456B">
      <w:r>
        <w:rPr>
          <w:noProof/>
        </w:rPr>
        <w:lastRenderedPageBreak/>
        <mc:AlternateContent>
          <mc:Choice Requires="wps">
            <w:drawing>
              <wp:anchor distT="0" distB="0" distL="114300" distR="114300" simplePos="0" relativeHeight="251664384" behindDoc="0" locked="0" layoutInCell="1" allowOverlap="1" wp14:anchorId="720842DC" wp14:editId="20660648">
                <wp:simplePos x="0" y="0"/>
                <wp:positionH relativeFrom="margin">
                  <wp:posOffset>19050</wp:posOffset>
                </wp:positionH>
                <wp:positionV relativeFrom="paragraph">
                  <wp:posOffset>5786120</wp:posOffset>
                </wp:positionV>
                <wp:extent cx="8229600" cy="635"/>
                <wp:effectExtent l="0" t="0" r="0" b="3810"/>
                <wp:wrapNone/>
                <wp:docPr id="165777532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wps:spPr>
                      <wps:txbx>
                        <w:txbxContent>
                          <w:p w14:paraId="419592D5" w14:textId="4648BAEB" w:rsidR="001202AF" w:rsidRPr="00BC0353" w:rsidRDefault="001202AF" w:rsidP="001202AF">
                            <w:pPr>
                              <w:pStyle w:val="Caption"/>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Pr="00BC0353">
                              <w:rPr>
                                <w:noProof/>
                                <w:sz w:val="24"/>
                                <w:szCs w:val="24"/>
                              </w:rPr>
                              <w:t>2</w:t>
                            </w:r>
                            <w:r w:rsidRPr="00BC0353">
                              <w:rPr>
                                <w:sz w:val="24"/>
                                <w:szCs w:val="24"/>
                              </w:rPr>
                              <w:fldChar w:fldCharType="end"/>
                            </w:r>
                            <w:r w:rsidRPr="00BC0353">
                              <w:rPr>
                                <w:sz w:val="24"/>
                                <w:szCs w:val="24"/>
                              </w:rPr>
                              <w:t xml:space="preserve">.  Map depicting </w:t>
                            </w:r>
                            <w:r w:rsidR="008B456B">
                              <w:rPr>
                                <w:sz w:val="24"/>
                                <w:szCs w:val="24"/>
                              </w:rPr>
                              <w:t>existing, planned, and potential shallow monitoring wells within the Vina Subbasin</w:t>
                            </w:r>
                            <w:r w:rsidRPr="00BC0353">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842DC" id="_x0000_s1027" type="#_x0000_t202" style="position:absolute;margin-left:1.5pt;margin-top:455.6pt;width:9in;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" stroked="f">
                <v:textbox style="mso-fit-shape-to-text:t" inset="0,0,0,0">
                  <w:txbxContent>
                    <w:p w14:paraId="419592D5" w14:textId="4648BAEB" w:rsidR="001202AF" w:rsidRPr="00BC0353" w:rsidRDefault="001202AF" w:rsidP="001202AF">
                      <w:pPr>
                        <w:pStyle w:val="Caption"/>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Pr="00BC0353">
                        <w:rPr>
                          <w:noProof/>
                          <w:sz w:val="24"/>
                          <w:szCs w:val="24"/>
                        </w:rPr>
                        <w:t>2</w:t>
                      </w:r>
                      <w:r w:rsidRPr="00BC0353">
                        <w:rPr>
                          <w:sz w:val="24"/>
                          <w:szCs w:val="24"/>
                        </w:rPr>
                        <w:fldChar w:fldCharType="end"/>
                      </w:r>
                      <w:r w:rsidRPr="00BC0353">
                        <w:rPr>
                          <w:sz w:val="24"/>
                          <w:szCs w:val="24"/>
                        </w:rPr>
                        <w:t xml:space="preserve">.  Map depicting </w:t>
                      </w:r>
                      <w:r w:rsidR="008B456B">
                        <w:rPr>
                          <w:sz w:val="24"/>
                          <w:szCs w:val="24"/>
                        </w:rPr>
                        <w:t>existing, planned, and potential shallow monitoring wells within the Vina Subbasin</w:t>
                      </w:r>
                      <w:r w:rsidRPr="00BC0353">
                        <w:rPr>
                          <w:sz w:val="24"/>
                          <w:szCs w:val="24"/>
                        </w:rPr>
                        <w:t>.</w:t>
                      </w:r>
                    </w:p>
                  </w:txbxContent>
                </v:textbox>
                <w10:wrap anchorx="margin"/>
              </v:shape>
            </w:pict>
          </mc:Fallback>
        </mc:AlternateContent>
      </w:r>
      <w:r w:rsidR="008B456B" w:rsidRPr="008B456B">
        <w:rPr>
          <w:rFonts w:ascii="Times New Roman" w:hAnsi="Times New Roman"/>
          <w:b/>
          <w:szCs w:val="24"/>
        </w:rPr>
        <w:t xml:space="preserve"> </w:t>
      </w:r>
      <w:r w:rsidR="008B456B" w:rsidRPr="008B456B">
        <w:drawing>
          <wp:inline distT="0" distB="0" distL="0" distR="0" wp14:anchorId="68E2BB24" wp14:editId="5D0F891E">
            <wp:extent cx="8020050" cy="5671585"/>
            <wp:effectExtent l="0" t="0" r="0" b="5715"/>
            <wp:docPr id="1756867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46467" cy="5690266"/>
                    </a:xfrm>
                    <a:prstGeom prst="rect">
                      <a:avLst/>
                    </a:prstGeom>
                    <a:noFill/>
                    <a:ln>
                      <a:noFill/>
                    </a:ln>
                  </pic:spPr>
                </pic:pic>
              </a:graphicData>
            </a:graphic>
          </wp:inline>
        </w:drawing>
      </w:r>
    </w:p>
    <w:p w14:paraId="663A2ACB" w14:textId="6C3D3DD4" w:rsidR="00B22B86" w:rsidRDefault="00B22B86" w:rsidP="00BC0353"/>
    <w:p w14:paraId="4B1F6B53" w14:textId="77777777" w:rsidR="00FE506D" w:rsidRDefault="00FE506D" w:rsidP="00B22B86">
      <w:pPr>
        <w:tabs>
          <w:tab w:val="left" w:pos="10147"/>
        </w:tabs>
        <w:sectPr w:rsidR="00FE506D" w:rsidSect="00B65873">
          <w:pgSz w:w="15840" w:h="12240" w:orient="landscape"/>
          <w:pgMar w:top="1440" w:right="1440" w:bottom="1440" w:left="1440" w:header="720" w:footer="432" w:gutter="0"/>
          <w:cols w:space="720"/>
        </w:sectPr>
      </w:pPr>
    </w:p>
    <w:p w14:paraId="17AE8558" w14:textId="77777777" w:rsidR="00FE506D" w:rsidRPr="00A4633B" w:rsidRDefault="00FE506D" w:rsidP="00FE506D">
      <w:pPr>
        <w:pStyle w:val="Heading2"/>
      </w:pPr>
      <w:r>
        <w:lastRenderedPageBreak/>
        <w:t>3.3. Domestic Well Survey Preliminary Results</w:t>
      </w:r>
    </w:p>
    <w:p w14:paraId="5C843776" w14:textId="06418D00" w:rsidR="00B22B86" w:rsidRDefault="00FE506D" w:rsidP="00171052">
      <w:r>
        <w:t xml:space="preserve">The domestic well survey </w:t>
      </w:r>
      <w:r w:rsidR="00C10B94">
        <w:t xml:space="preserve">based on parcel information identified </w:t>
      </w:r>
      <w:r>
        <w:t>1,342 domestic wells within the Vina Subbasi</w:t>
      </w:r>
      <w:r w:rsidR="003140A1">
        <w:t>n</w:t>
      </w:r>
      <w:r>
        <w:t xml:space="preserve">. </w:t>
      </w:r>
      <w:r w:rsidR="0041461D">
        <w:t xml:space="preserve">A map of the domestic well survey results with delineated Priority Areas are shown in Figure 3. </w:t>
      </w:r>
      <w:r w:rsidR="003140A1">
        <w:t>For comparison, DWR</w:t>
      </w:r>
      <w:r w:rsidR="00171052">
        <w:t xml:space="preserve"> estimates </w:t>
      </w:r>
      <w:r w:rsidR="003140A1">
        <w:t xml:space="preserve">approximately 2,300 </w:t>
      </w:r>
      <w:r w:rsidR="00171052">
        <w:t xml:space="preserve">domestic wells within the Vina Subbasin based on the number of </w:t>
      </w:r>
      <w:r w:rsidR="003140A1">
        <w:t xml:space="preserve">well completion reports (WCRs) </w:t>
      </w:r>
      <w:r w:rsidR="00171052">
        <w:t>received</w:t>
      </w:r>
      <w:r w:rsidR="00171052" w:rsidRPr="00171052">
        <w:t xml:space="preserve"> </w:t>
      </w:r>
      <w:r w:rsidR="00171052">
        <w:t>since 1977</w:t>
      </w:r>
      <w:r w:rsidR="003140A1">
        <w:t>.</w:t>
      </w:r>
      <w:r w:rsidR="003140A1">
        <w:rPr>
          <w:rStyle w:val="FootnoteReference"/>
        </w:rPr>
        <w:footnoteReference w:id="3"/>
      </w:r>
      <w:r w:rsidR="003140A1">
        <w:t xml:space="preserve"> </w:t>
      </w:r>
      <w:r w:rsidR="0041461D">
        <w:t xml:space="preserve">The </w:t>
      </w:r>
      <w:r w:rsidR="00171052">
        <w:t xml:space="preserve">parcel-based approach </w:t>
      </w:r>
      <w:r w:rsidR="0041461D">
        <w:t>may be a better representation of the actual number of wells</w:t>
      </w:r>
      <w:r w:rsidR="00171052">
        <w:t xml:space="preserve"> in the Subbasin</w:t>
      </w:r>
      <w:r w:rsidR="0041461D">
        <w:t xml:space="preserve"> as some domestic wells have likely been replaced over time. </w:t>
      </w:r>
      <w:r w:rsidR="00C45A83">
        <w:t xml:space="preserve">Further coordination with Cal Water is recommended to identify parcels within their service area without service. </w:t>
      </w:r>
    </w:p>
    <w:p w14:paraId="0E9A5D54" w14:textId="001A2DA9" w:rsidR="0070649C" w:rsidRDefault="0070649C" w:rsidP="00BC0353">
      <w:r>
        <w:t>Approximately fourteen well owners have volunteered their domestic well</w:t>
      </w:r>
      <w:r w:rsidR="00414A5C">
        <w:t>s</w:t>
      </w:r>
      <w:r>
        <w:t xml:space="preserve"> to be monitored under the Community Monitoring Program (see purple points on Figure 3). These wells will be further evaluated to assess the suitability to participate and be monitored </w:t>
      </w:r>
      <w:r w:rsidR="00414A5C">
        <w:t>through</w:t>
      </w:r>
      <w:r>
        <w:t xml:space="preserve"> the Program.</w:t>
      </w:r>
      <w:r w:rsidR="00414A5C">
        <w:t xml:space="preserve"> The GSA has funding to install monitoring equipment on eight domestic wells. </w:t>
      </w:r>
      <w:r>
        <w:t xml:space="preserve">  </w:t>
      </w:r>
    </w:p>
    <w:p w14:paraId="79959957" w14:textId="77777777" w:rsidR="004D4548" w:rsidRDefault="004D4548" w:rsidP="00B22B86">
      <w:pPr>
        <w:tabs>
          <w:tab w:val="left" w:pos="10147"/>
        </w:tabs>
      </w:pPr>
    </w:p>
    <w:p w14:paraId="053C84A7" w14:textId="3AF6E93C" w:rsidR="00FE506D" w:rsidRDefault="00FE506D" w:rsidP="00B22B86">
      <w:pPr>
        <w:tabs>
          <w:tab w:val="left" w:pos="10147"/>
        </w:tabs>
        <w:sectPr w:rsidR="00FE506D" w:rsidSect="00BC0353">
          <w:pgSz w:w="12240" w:h="15840"/>
          <w:pgMar w:top="1440" w:right="1440" w:bottom="1440" w:left="1440" w:header="720" w:footer="432" w:gutter="0"/>
          <w:cols w:space="720"/>
          <w:docGrid w:linePitch="326"/>
        </w:sectPr>
      </w:pPr>
    </w:p>
    <w:p w14:paraId="7009066F" w14:textId="667A1124" w:rsidR="00FE506D" w:rsidRDefault="00E838BE" w:rsidP="00BC0353">
      <w:pPr>
        <w:tabs>
          <w:tab w:val="left" w:pos="10147"/>
        </w:tabs>
      </w:pPr>
      <w:r>
        <w:rPr>
          <w:noProof/>
        </w:rPr>
        <w:lastRenderedPageBreak/>
        <w:drawing>
          <wp:inline distT="0" distB="0" distL="0" distR="0" wp14:anchorId="29B90382" wp14:editId="0CBAE76C">
            <wp:extent cx="7686675" cy="5435688"/>
            <wp:effectExtent l="0" t="0" r="0" b="0"/>
            <wp:docPr id="9078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3517" cy="5447598"/>
                    </a:xfrm>
                    <a:prstGeom prst="rect">
                      <a:avLst/>
                    </a:prstGeom>
                    <a:noFill/>
                  </pic:spPr>
                </pic:pic>
              </a:graphicData>
            </a:graphic>
          </wp:inline>
        </w:drawing>
      </w:r>
    </w:p>
    <w:p w14:paraId="423D64BA" w14:textId="2C39681B" w:rsidR="00B65873" w:rsidRPr="00B65873" w:rsidRDefault="0062539C" w:rsidP="00B65873">
      <w:pPr>
        <w:rPr>
          <w:rFonts w:eastAsiaTheme="majorEastAsia" w:cstheme="minorHAnsi"/>
          <w:b/>
          <w:bCs/>
          <w:color w:val="074976" w:themeColor="text2"/>
          <w:sz w:val="28"/>
          <w:szCs w:val="28"/>
        </w:rPr>
        <w:sectPr w:rsidR="00B65873" w:rsidRPr="00B65873" w:rsidSect="00B65873">
          <w:pgSz w:w="15840" w:h="12240" w:orient="landscape"/>
          <w:pgMar w:top="1440" w:right="1440" w:bottom="1440" w:left="1440" w:header="720" w:footer="432" w:gutter="0"/>
          <w:cols w:space="720"/>
        </w:sectPr>
      </w:pPr>
      <w:r>
        <w:rPr>
          <w:noProof/>
        </w:rPr>
        <mc:AlternateContent>
          <mc:Choice Requires="wps">
            <w:drawing>
              <wp:anchor distT="0" distB="0" distL="114300" distR="114300" simplePos="0" relativeHeight="251669504" behindDoc="1" locked="0" layoutInCell="1" allowOverlap="1" wp14:anchorId="03AA4DD9" wp14:editId="37791E21">
                <wp:simplePos x="0" y="0"/>
                <wp:positionH relativeFrom="column">
                  <wp:posOffset>0</wp:posOffset>
                </wp:positionH>
                <wp:positionV relativeFrom="paragraph">
                  <wp:posOffset>-635</wp:posOffset>
                </wp:positionV>
                <wp:extent cx="8229600" cy="635"/>
                <wp:effectExtent l="0" t="0" r="0" b="0"/>
                <wp:wrapNone/>
                <wp:docPr id="491828834"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wps:spPr>
                      <wps:txbx>
                        <w:txbxContent>
                          <w:p w14:paraId="1540B161" w14:textId="1B6888FE" w:rsidR="0062539C" w:rsidRPr="00BC0353" w:rsidRDefault="0062539C" w:rsidP="0062539C">
                            <w:pPr>
                              <w:pStyle w:val="Caption"/>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Pr="00BC0353">
                              <w:rPr>
                                <w:noProof/>
                                <w:sz w:val="24"/>
                                <w:szCs w:val="24"/>
                              </w:rPr>
                              <w:t>3</w:t>
                            </w:r>
                            <w:r w:rsidRPr="00BC0353">
                              <w:rPr>
                                <w:sz w:val="24"/>
                                <w:szCs w:val="24"/>
                              </w:rPr>
                              <w:fldChar w:fldCharType="end"/>
                            </w:r>
                            <w:r w:rsidRPr="00BC0353">
                              <w:rPr>
                                <w:sz w:val="24"/>
                                <w:szCs w:val="24"/>
                              </w:rPr>
                              <w:t xml:space="preserve">.  Map depicting results of the domestic well survey. Priority areas were delineated from the domestic well survey results and the dry wells reported to </w:t>
                            </w:r>
                            <w:r>
                              <w:rPr>
                                <w:sz w:val="24"/>
                                <w:szCs w:val="24"/>
                              </w:rPr>
                              <w:t xml:space="preserve">Butte County </w:t>
                            </w:r>
                            <w:r w:rsidRPr="00BC0353">
                              <w:rPr>
                                <w:sz w:val="24"/>
                                <w:szCs w:val="24"/>
                              </w:rPr>
                              <w:t xml:space="preserve">OEM </w:t>
                            </w:r>
                            <w:r>
                              <w:rPr>
                                <w:sz w:val="24"/>
                                <w:szCs w:val="24"/>
                              </w:rPr>
                              <w:t>through June</w:t>
                            </w:r>
                            <w:r w:rsidRPr="00BC0353">
                              <w:rPr>
                                <w:sz w:val="24"/>
                                <w:szCs w:val="24"/>
                              </w:rPr>
                              <w:t xml:space="preserve"> </w:t>
                            </w:r>
                            <w:r>
                              <w:rPr>
                                <w:sz w:val="24"/>
                                <w:szCs w:val="24"/>
                              </w:rPr>
                              <w:t xml:space="preserve">30, </w:t>
                            </w:r>
                            <w:r w:rsidRPr="00BC0353">
                              <w:rPr>
                                <w:sz w:val="24"/>
                                <w:szCs w:val="24"/>
                              </w:rPr>
                              <w:t xml:space="preserve">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A4DD9" id="_x0000_s1028" type="#_x0000_t202" style="position:absolute;margin-left:0;margin-top:-.05pt;width:9in;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" stroked="f">
                <v:textbox style="mso-fit-shape-to-text:t" inset="0,0,0,0">
                  <w:txbxContent>
                    <w:p w14:paraId="1540B161" w14:textId="1B6888FE" w:rsidR="0062539C" w:rsidRPr="00BC0353" w:rsidRDefault="0062539C" w:rsidP="0062539C">
                      <w:pPr>
                        <w:pStyle w:val="Caption"/>
                        <w:rPr>
                          <w:sz w:val="24"/>
                          <w:szCs w:val="24"/>
                        </w:rPr>
                      </w:pPr>
                      <w:r w:rsidRPr="00BC0353">
                        <w:rPr>
                          <w:sz w:val="24"/>
                          <w:szCs w:val="24"/>
                        </w:rPr>
                        <w:t xml:space="preserve">Figure </w:t>
                      </w:r>
                      <w:r w:rsidRPr="00BC0353">
                        <w:rPr>
                          <w:sz w:val="24"/>
                          <w:szCs w:val="24"/>
                        </w:rPr>
                        <w:fldChar w:fldCharType="begin"/>
                      </w:r>
                      <w:r w:rsidRPr="00BC0353">
                        <w:rPr>
                          <w:sz w:val="24"/>
                          <w:szCs w:val="24"/>
                        </w:rPr>
                        <w:instrText xml:space="preserve"> SEQ Figure \* ARABIC </w:instrText>
                      </w:r>
                      <w:r w:rsidRPr="00BC0353">
                        <w:rPr>
                          <w:sz w:val="24"/>
                          <w:szCs w:val="24"/>
                        </w:rPr>
                        <w:fldChar w:fldCharType="separate"/>
                      </w:r>
                      <w:r w:rsidRPr="00BC0353">
                        <w:rPr>
                          <w:noProof/>
                          <w:sz w:val="24"/>
                          <w:szCs w:val="24"/>
                        </w:rPr>
                        <w:t>3</w:t>
                      </w:r>
                      <w:r w:rsidRPr="00BC0353">
                        <w:rPr>
                          <w:sz w:val="24"/>
                          <w:szCs w:val="24"/>
                        </w:rPr>
                        <w:fldChar w:fldCharType="end"/>
                      </w:r>
                      <w:r w:rsidRPr="00BC0353">
                        <w:rPr>
                          <w:sz w:val="24"/>
                          <w:szCs w:val="24"/>
                        </w:rPr>
                        <w:t xml:space="preserve">.  Map depicting results of the domestic well survey. Priority areas were delineated from the domestic well survey results and the dry wells reported to </w:t>
                      </w:r>
                      <w:r>
                        <w:rPr>
                          <w:sz w:val="24"/>
                          <w:szCs w:val="24"/>
                        </w:rPr>
                        <w:t xml:space="preserve">Butte County </w:t>
                      </w:r>
                      <w:r w:rsidRPr="00BC0353">
                        <w:rPr>
                          <w:sz w:val="24"/>
                          <w:szCs w:val="24"/>
                        </w:rPr>
                        <w:t xml:space="preserve">OEM </w:t>
                      </w:r>
                      <w:r>
                        <w:rPr>
                          <w:sz w:val="24"/>
                          <w:szCs w:val="24"/>
                        </w:rPr>
                        <w:t>through June</w:t>
                      </w:r>
                      <w:r w:rsidRPr="00BC0353">
                        <w:rPr>
                          <w:sz w:val="24"/>
                          <w:szCs w:val="24"/>
                        </w:rPr>
                        <w:t xml:space="preserve"> </w:t>
                      </w:r>
                      <w:r>
                        <w:rPr>
                          <w:sz w:val="24"/>
                          <w:szCs w:val="24"/>
                        </w:rPr>
                        <w:t xml:space="preserve">30, </w:t>
                      </w:r>
                      <w:r w:rsidRPr="00BC0353">
                        <w:rPr>
                          <w:sz w:val="24"/>
                          <w:szCs w:val="24"/>
                        </w:rPr>
                        <w:t xml:space="preserve">2024. </w:t>
                      </w:r>
                    </w:p>
                  </w:txbxContent>
                </v:textbox>
              </v:shape>
            </w:pict>
          </mc:Fallback>
        </mc:AlternateContent>
      </w:r>
    </w:p>
    <w:p w14:paraId="39EE62EA" w14:textId="77777777" w:rsidR="00460695" w:rsidRDefault="00460695" w:rsidP="00460695">
      <w:pPr>
        <w:pStyle w:val="Heading1"/>
      </w:pPr>
      <w:r>
        <w:lastRenderedPageBreak/>
        <w:t>4. NEXT STEPS</w:t>
      </w:r>
    </w:p>
    <w:p w14:paraId="09557D95" w14:textId="7B046C8E" w:rsidR="00460695" w:rsidRDefault="00460695" w:rsidP="00460695">
      <w:r>
        <w:t xml:space="preserve">The LWA Team in coordination with GSA staff are actively soliciting input on the proposed enhanced monitoring network from local stakeholders. To date, we have engaged the following groups for input: </w:t>
      </w:r>
    </w:p>
    <w:p w14:paraId="2FBF770D" w14:textId="365640AC" w:rsidR="00460695" w:rsidRDefault="00460695" w:rsidP="00460695">
      <w:pPr>
        <w:pStyle w:val="ListParagraph"/>
        <w:numPr>
          <w:ilvl w:val="0"/>
          <w:numId w:val="23"/>
        </w:numPr>
      </w:pPr>
      <w:r>
        <w:t>Members of Butte County Technical Advisory Committee,</w:t>
      </w:r>
    </w:p>
    <w:p w14:paraId="5F46F0DB" w14:textId="43801B51" w:rsidR="00460695" w:rsidRDefault="00460695" w:rsidP="00460695">
      <w:pPr>
        <w:pStyle w:val="ListParagraph"/>
        <w:numPr>
          <w:ilvl w:val="0"/>
          <w:numId w:val="23"/>
        </w:numPr>
      </w:pPr>
      <w:r>
        <w:t>Agricultural Groundwater Users of Butte County,</w:t>
      </w:r>
    </w:p>
    <w:p w14:paraId="3F92F82C" w14:textId="297CFFB3" w:rsidR="00460695" w:rsidRDefault="00460695" w:rsidP="00460695">
      <w:pPr>
        <w:pStyle w:val="ListParagraph"/>
        <w:numPr>
          <w:ilvl w:val="0"/>
          <w:numId w:val="23"/>
        </w:numPr>
      </w:pPr>
      <w:r>
        <w:t>Friends of Butte Creek,</w:t>
      </w:r>
    </w:p>
    <w:p w14:paraId="2EE19EF1" w14:textId="1342025F" w:rsidR="00460695" w:rsidRDefault="00460695" w:rsidP="00460695">
      <w:pPr>
        <w:pStyle w:val="ListParagraph"/>
        <w:numPr>
          <w:ilvl w:val="0"/>
          <w:numId w:val="23"/>
        </w:numPr>
      </w:pPr>
      <w:r>
        <w:t>The Nature Conservancy, and</w:t>
      </w:r>
    </w:p>
    <w:p w14:paraId="04477812" w14:textId="7F960447" w:rsidR="00460695" w:rsidRDefault="00460695" w:rsidP="00460695">
      <w:pPr>
        <w:pStyle w:val="ListParagraph"/>
        <w:numPr>
          <w:ilvl w:val="0"/>
          <w:numId w:val="23"/>
        </w:numPr>
      </w:pPr>
      <w:r>
        <w:t xml:space="preserve">Other GSA/County </w:t>
      </w:r>
      <w:r w:rsidR="00B32F66">
        <w:t>t</w:t>
      </w:r>
      <w:r>
        <w:t xml:space="preserve">echnical </w:t>
      </w:r>
      <w:r w:rsidR="00B32F66">
        <w:t>c</w:t>
      </w:r>
      <w:r>
        <w:t>onsultants</w:t>
      </w:r>
      <w:r w:rsidR="00B32F66">
        <w:t>.</w:t>
      </w:r>
    </w:p>
    <w:p w14:paraId="5E2E65B7" w14:textId="35FA7A3E" w:rsidR="00B32F66" w:rsidRDefault="00597613" w:rsidP="00460695">
      <w:r>
        <w:t xml:space="preserve">The LWA Team will continue to request input from stakeholders over the next two months. </w:t>
      </w:r>
      <w:r w:rsidR="00460695">
        <w:t xml:space="preserve">The schedule to request input from the Vina GSA Stakeholder Advisory Committee (SHAC) and the Board of Directors is summarized in Table 2. Updates will be provided to the SHAC and Board of Directors at their October and November meetings, respectively. </w:t>
      </w:r>
      <w:r w:rsidR="00B32F66">
        <w:t xml:space="preserve">Final recommendation and approval from the SHAC and Board of Directors is tentatively scheduled for November 20, 2024, and December 11, 2024; respectively. </w:t>
      </w:r>
    </w:p>
    <w:p w14:paraId="5BEF83E7" w14:textId="1ABAB52A" w:rsidR="00B32F66" w:rsidRDefault="00B32F66" w:rsidP="00460695">
      <w:r>
        <w:rPr>
          <w:noProof/>
        </w:rPr>
        <mc:AlternateContent>
          <mc:Choice Requires="wps">
            <w:drawing>
              <wp:anchor distT="0" distB="0" distL="114300" distR="114300" simplePos="0" relativeHeight="251671552" behindDoc="1" locked="0" layoutInCell="1" allowOverlap="1" wp14:anchorId="1FA5D9A3" wp14:editId="07C4CE80">
                <wp:simplePos x="0" y="0"/>
                <wp:positionH relativeFrom="margin">
                  <wp:align>right</wp:align>
                </wp:positionH>
                <wp:positionV relativeFrom="paragraph">
                  <wp:posOffset>8890</wp:posOffset>
                </wp:positionV>
                <wp:extent cx="5943600" cy="222885"/>
                <wp:effectExtent l="0" t="0" r="0" b="5715"/>
                <wp:wrapNone/>
                <wp:docPr id="2124804765" name="Text Box 1"/>
                <wp:cNvGraphicFramePr/>
                <a:graphic xmlns:a="http://schemas.openxmlformats.org/drawingml/2006/main">
                  <a:graphicData uri="http://schemas.microsoft.com/office/word/2010/wordprocessingShape">
                    <wps:wsp>
                      <wps:cNvSpPr txBox="1"/>
                      <wps:spPr>
                        <a:xfrm>
                          <a:off x="0" y="0"/>
                          <a:ext cx="5943600" cy="222885"/>
                        </a:xfrm>
                        <a:prstGeom prst="rect">
                          <a:avLst/>
                        </a:prstGeom>
                        <a:solidFill>
                          <a:prstClr val="white"/>
                        </a:solidFill>
                        <a:ln>
                          <a:noFill/>
                        </a:ln>
                      </wps:spPr>
                      <wps:txbx>
                        <w:txbxContent>
                          <w:p w14:paraId="09938330" w14:textId="66D8816F" w:rsidR="00B32F66" w:rsidRPr="00BC0353" w:rsidRDefault="008B456B" w:rsidP="00B32F66">
                            <w:pPr>
                              <w:pStyle w:val="Caption"/>
                              <w:rPr>
                                <w:sz w:val="24"/>
                                <w:szCs w:val="24"/>
                              </w:rPr>
                            </w:pPr>
                            <w:r>
                              <w:rPr>
                                <w:sz w:val="24"/>
                                <w:szCs w:val="24"/>
                              </w:rPr>
                              <w:t>Table 2</w:t>
                            </w:r>
                            <w:r w:rsidR="00B32F66" w:rsidRPr="00BC0353">
                              <w:rPr>
                                <w:sz w:val="24"/>
                                <w:szCs w:val="24"/>
                              </w:rPr>
                              <w:t xml:space="preserve">. </w:t>
                            </w:r>
                            <w:r w:rsidR="009B0138">
                              <w:rPr>
                                <w:sz w:val="24"/>
                                <w:szCs w:val="24"/>
                              </w:rPr>
                              <w:t xml:space="preserve">Proposed </w:t>
                            </w:r>
                            <w:r w:rsidR="00B32F66">
                              <w:rPr>
                                <w:sz w:val="24"/>
                                <w:szCs w:val="24"/>
                              </w:rPr>
                              <w:t>SHAC and Board of Directors input process</w:t>
                            </w:r>
                            <w:r w:rsidR="009B0138">
                              <w:rPr>
                                <w:sz w:val="24"/>
                                <w:szCs w:val="24"/>
                              </w:rPr>
                              <w:t xml:space="preserve"> schedule</w:t>
                            </w:r>
                            <w:r w:rsidR="00B32F66">
                              <w:rPr>
                                <w:sz w:val="24"/>
                                <w:szCs w:val="24"/>
                              </w:rPr>
                              <w:t xml:space="preserve">. </w:t>
                            </w:r>
                            <w:r w:rsidR="00B32F66" w:rsidRPr="00BC0353">
                              <w:rPr>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D9A3" id="_x0000_s1029" type="#_x0000_t202" style="position:absolute;margin-left:416.8pt;margin-top:.7pt;width:468pt;height:17.5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" stroked="f">
                <v:textbox inset="0,0,0,0">
                  <w:txbxContent>
                    <w:p w14:paraId="09938330" w14:textId="66D8816F" w:rsidR="00B32F66" w:rsidRPr="00BC0353" w:rsidRDefault="008B456B" w:rsidP="00B32F66">
                      <w:pPr>
                        <w:pStyle w:val="Caption"/>
                        <w:rPr>
                          <w:sz w:val="24"/>
                          <w:szCs w:val="24"/>
                        </w:rPr>
                      </w:pPr>
                      <w:r>
                        <w:rPr>
                          <w:sz w:val="24"/>
                          <w:szCs w:val="24"/>
                        </w:rPr>
                        <w:t>Table 2</w:t>
                      </w:r>
                      <w:r w:rsidR="00B32F66" w:rsidRPr="00BC0353">
                        <w:rPr>
                          <w:sz w:val="24"/>
                          <w:szCs w:val="24"/>
                        </w:rPr>
                        <w:t xml:space="preserve">. </w:t>
                      </w:r>
                      <w:r w:rsidR="009B0138">
                        <w:rPr>
                          <w:sz w:val="24"/>
                          <w:szCs w:val="24"/>
                        </w:rPr>
                        <w:t xml:space="preserve">Proposed </w:t>
                      </w:r>
                      <w:r w:rsidR="00B32F66">
                        <w:rPr>
                          <w:sz w:val="24"/>
                          <w:szCs w:val="24"/>
                        </w:rPr>
                        <w:t>SHAC and Board of Directors input process</w:t>
                      </w:r>
                      <w:r w:rsidR="009B0138">
                        <w:rPr>
                          <w:sz w:val="24"/>
                          <w:szCs w:val="24"/>
                        </w:rPr>
                        <w:t xml:space="preserve"> schedule</w:t>
                      </w:r>
                      <w:r w:rsidR="00B32F66">
                        <w:rPr>
                          <w:sz w:val="24"/>
                          <w:szCs w:val="24"/>
                        </w:rPr>
                        <w:t xml:space="preserve">. </w:t>
                      </w:r>
                      <w:r w:rsidR="00B32F66" w:rsidRPr="00BC0353">
                        <w:rPr>
                          <w:sz w:val="24"/>
                          <w:szCs w:val="24"/>
                        </w:rPr>
                        <w:t xml:space="preserve"> </w:t>
                      </w:r>
                    </w:p>
                  </w:txbxContent>
                </v:textbox>
                <w10:wrap anchorx="margin"/>
              </v:shape>
            </w:pict>
          </mc:Fallback>
        </mc:AlternateContent>
      </w:r>
    </w:p>
    <w:tbl>
      <w:tblPr>
        <w:tblStyle w:val="TableGrid"/>
        <w:tblW w:w="0" w:type="auto"/>
        <w:tblLook w:val="04A0" w:firstRow="1" w:lastRow="0" w:firstColumn="1" w:lastColumn="0" w:noHBand="0" w:noVBand="1"/>
      </w:tblPr>
      <w:tblGrid>
        <w:gridCol w:w="3116"/>
        <w:gridCol w:w="3117"/>
        <w:gridCol w:w="3117"/>
      </w:tblGrid>
      <w:tr w:rsidR="00B32F66" w14:paraId="58F51D81" w14:textId="77777777" w:rsidTr="00BC0353">
        <w:tc>
          <w:tcPr>
            <w:tcW w:w="3116" w:type="dxa"/>
            <w:shd w:val="clear" w:color="auto" w:fill="CBDDD8" w:themeFill="accent6" w:themeFillTint="66"/>
          </w:tcPr>
          <w:p w14:paraId="2C5D0B39" w14:textId="0E7777B5" w:rsidR="00B32F66" w:rsidRPr="00BC0353" w:rsidRDefault="00B32F66" w:rsidP="00BC0353">
            <w:pPr>
              <w:jc w:val="center"/>
              <w:rPr>
                <w:b/>
                <w:bCs/>
              </w:rPr>
            </w:pPr>
            <w:r w:rsidRPr="00BC0353">
              <w:rPr>
                <w:b/>
                <w:bCs/>
              </w:rPr>
              <w:t>Group</w:t>
            </w:r>
          </w:p>
        </w:tc>
        <w:tc>
          <w:tcPr>
            <w:tcW w:w="3117" w:type="dxa"/>
            <w:shd w:val="clear" w:color="auto" w:fill="CBDDD8" w:themeFill="accent6" w:themeFillTint="66"/>
          </w:tcPr>
          <w:p w14:paraId="08844DD2" w14:textId="0EED3AB7" w:rsidR="00B32F66" w:rsidRPr="00BC0353" w:rsidRDefault="00B32F66" w:rsidP="00BC0353">
            <w:pPr>
              <w:jc w:val="center"/>
              <w:rPr>
                <w:b/>
                <w:bCs/>
              </w:rPr>
            </w:pPr>
            <w:r>
              <w:rPr>
                <w:b/>
                <w:bCs/>
              </w:rPr>
              <w:t>Meeting Date</w:t>
            </w:r>
          </w:p>
        </w:tc>
        <w:tc>
          <w:tcPr>
            <w:tcW w:w="3117" w:type="dxa"/>
            <w:shd w:val="clear" w:color="auto" w:fill="CBDDD8" w:themeFill="accent6" w:themeFillTint="66"/>
          </w:tcPr>
          <w:p w14:paraId="56AA2909" w14:textId="1EA63709" w:rsidR="00B32F66" w:rsidRPr="00BC0353" w:rsidRDefault="00B32F66" w:rsidP="00BC0353">
            <w:pPr>
              <w:jc w:val="center"/>
              <w:rPr>
                <w:b/>
                <w:bCs/>
              </w:rPr>
            </w:pPr>
            <w:r>
              <w:rPr>
                <w:b/>
                <w:bCs/>
              </w:rPr>
              <w:t>Purpose</w:t>
            </w:r>
          </w:p>
        </w:tc>
      </w:tr>
      <w:tr w:rsidR="00B32F66" w14:paraId="6BDCD41F" w14:textId="77777777" w:rsidTr="00B32F66">
        <w:tc>
          <w:tcPr>
            <w:tcW w:w="3116" w:type="dxa"/>
          </w:tcPr>
          <w:p w14:paraId="4E79B288" w14:textId="4850342D" w:rsidR="00B32F66" w:rsidRDefault="00B32F66" w:rsidP="00BC0353">
            <w:pPr>
              <w:jc w:val="center"/>
            </w:pPr>
            <w:r>
              <w:t>SHAC</w:t>
            </w:r>
          </w:p>
        </w:tc>
        <w:tc>
          <w:tcPr>
            <w:tcW w:w="3117" w:type="dxa"/>
          </w:tcPr>
          <w:p w14:paraId="2DC2EEFD" w14:textId="72863AA4" w:rsidR="00B32F66" w:rsidRDefault="00B32F66" w:rsidP="00BC0353">
            <w:pPr>
              <w:jc w:val="center"/>
            </w:pPr>
            <w:r w:rsidRPr="00B32F66">
              <w:t>October 23, 2024</w:t>
            </w:r>
          </w:p>
        </w:tc>
        <w:tc>
          <w:tcPr>
            <w:tcW w:w="3117" w:type="dxa"/>
          </w:tcPr>
          <w:p w14:paraId="2A5722BF" w14:textId="28ECAD22" w:rsidR="00B32F66" w:rsidRDefault="00B32F66" w:rsidP="00BC0353">
            <w:pPr>
              <w:jc w:val="center"/>
            </w:pPr>
            <w:r w:rsidRPr="00B32F66">
              <w:t>Monitoring Network Update</w:t>
            </w:r>
          </w:p>
        </w:tc>
      </w:tr>
      <w:tr w:rsidR="00B32F66" w14:paraId="28F00369" w14:textId="77777777" w:rsidTr="00B32F66">
        <w:tc>
          <w:tcPr>
            <w:tcW w:w="3116" w:type="dxa"/>
          </w:tcPr>
          <w:p w14:paraId="11C2A832" w14:textId="261C633B" w:rsidR="00B32F66" w:rsidRDefault="00B32F66" w:rsidP="00BC0353">
            <w:pPr>
              <w:jc w:val="center"/>
            </w:pPr>
            <w:r>
              <w:t>Board of Directors</w:t>
            </w:r>
          </w:p>
        </w:tc>
        <w:tc>
          <w:tcPr>
            <w:tcW w:w="3117" w:type="dxa"/>
          </w:tcPr>
          <w:p w14:paraId="73BB2E3F" w14:textId="092C8F2D" w:rsidR="00B32F66" w:rsidRDefault="00B32F66" w:rsidP="00BC0353">
            <w:pPr>
              <w:jc w:val="center"/>
            </w:pPr>
            <w:r w:rsidRPr="00B32F66">
              <w:t>November 13, 2024</w:t>
            </w:r>
          </w:p>
        </w:tc>
        <w:tc>
          <w:tcPr>
            <w:tcW w:w="3117" w:type="dxa"/>
          </w:tcPr>
          <w:p w14:paraId="6EEA2DE8" w14:textId="0346D9AF" w:rsidR="00B32F66" w:rsidRDefault="00B32F66" w:rsidP="00BC0353">
            <w:pPr>
              <w:jc w:val="center"/>
            </w:pPr>
            <w:r w:rsidRPr="00B32F66">
              <w:t>Monitoring Network Update</w:t>
            </w:r>
          </w:p>
        </w:tc>
      </w:tr>
      <w:tr w:rsidR="00B32F66" w14:paraId="3660D0BA" w14:textId="77777777" w:rsidTr="00B32F66">
        <w:tc>
          <w:tcPr>
            <w:tcW w:w="3116" w:type="dxa"/>
          </w:tcPr>
          <w:p w14:paraId="1ABF9CCD" w14:textId="5313BAC3" w:rsidR="00B32F66" w:rsidRDefault="00B32F66" w:rsidP="00BC0353">
            <w:pPr>
              <w:jc w:val="center"/>
            </w:pPr>
            <w:r>
              <w:t>SHAC</w:t>
            </w:r>
          </w:p>
        </w:tc>
        <w:tc>
          <w:tcPr>
            <w:tcW w:w="3117" w:type="dxa"/>
          </w:tcPr>
          <w:p w14:paraId="43EF2D27" w14:textId="50160452" w:rsidR="00B32F66" w:rsidRDefault="00B32F66" w:rsidP="00BC0353">
            <w:pPr>
              <w:jc w:val="center"/>
            </w:pPr>
            <w:r w:rsidRPr="00B32F66">
              <w:t>November 20, 2024</w:t>
            </w:r>
          </w:p>
        </w:tc>
        <w:tc>
          <w:tcPr>
            <w:tcW w:w="3117" w:type="dxa"/>
          </w:tcPr>
          <w:p w14:paraId="49A4125A" w14:textId="30EC3514" w:rsidR="00B32F66" w:rsidRDefault="00B32F66" w:rsidP="00BC0353">
            <w:pPr>
              <w:jc w:val="center"/>
            </w:pPr>
            <w:r w:rsidRPr="00B32F66">
              <w:t>Recommendation to Board</w:t>
            </w:r>
          </w:p>
        </w:tc>
      </w:tr>
      <w:tr w:rsidR="00B32F66" w14:paraId="36D13AB0" w14:textId="77777777" w:rsidTr="00B32F66">
        <w:tc>
          <w:tcPr>
            <w:tcW w:w="3116" w:type="dxa"/>
          </w:tcPr>
          <w:p w14:paraId="3B3434BB" w14:textId="5C3FC821" w:rsidR="00B32F66" w:rsidRDefault="00B32F66" w:rsidP="00BC0353">
            <w:pPr>
              <w:jc w:val="center"/>
            </w:pPr>
            <w:r>
              <w:t>Board of Directors</w:t>
            </w:r>
          </w:p>
        </w:tc>
        <w:tc>
          <w:tcPr>
            <w:tcW w:w="3117" w:type="dxa"/>
          </w:tcPr>
          <w:p w14:paraId="5CD7B682" w14:textId="519C4B70" w:rsidR="00B32F66" w:rsidRDefault="00B32F66" w:rsidP="00BC0353">
            <w:pPr>
              <w:jc w:val="center"/>
            </w:pPr>
            <w:r w:rsidRPr="00B32F66">
              <w:t>December 11, 2024</w:t>
            </w:r>
          </w:p>
        </w:tc>
        <w:tc>
          <w:tcPr>
            <w:tcW w:w="3117" w:type="dxa"/>
          </w:tcPr>
          <w:p w14:paraId="5A818B7E" w14:textId="346C0427" w:rsidR="00B32F66" w:rsidRDefault="00B32F66" w:rsidP="00BC0353">
            <w:pPr>
              <w:jc w:val="center"/>
            </w:pPr>
            <w:r w:rsidRPr="00B32F66">
              <w:t>Final Board Approval</w:t>
            </w:r>
          </w:p>
        </w:tc>
      </w:tr>
    </w:tbl>
    <w:p w14:paraId="691DB1FE" w14:textId="77777777" w:rsidR="00B32F66" w:rsidRDefault="00B32F66" w:rsidP="00460695"/>
    <w:p w14:paraId="709679AD" w14:textId="741E8B0A" w:rsidR="00460695" w:rsidRDefault="00414A5C" w:rsidP="00460695">
      <w:r>
        <w:t>T</w:t>
      </w:r>
      <w:r w:rsidR="009B0138">
        <w:t>he LWA Team in coordination with GSA staff will continue to advance activities to ensure installation of the monitoring network remains on schedule. Landowner access agreements</w:t>
      </w:r>
      <w:r w:rsidR="00597613">
        <w:t xml:space="preserve"> (as applicable)</w:t>
      </w:r>
      <w:r w:rsidR="009B0138">
        <w:t xml:space="preserve">, final monitoring well designs and specifications, and bid documents will be completed by January 2025. Well contractors will be given notice to proceed by February 2025 with all new wells installed by June 2025. Stream gage installations will start in December 2024 once final approval is granted by the Vina GSA Board of Directors. </w:t>
      </w:r>
    </w:p>
    <w:p w14:paraId="0F012217" w14:textId="77777777" w:rsidR="008B456B" w:rsidRDefault="008B456B" w:rsidP="008B456B">
      <w:r>
        <w:t xml:space="preserve">Table 3 summarizes installation and annual operating and maintenance (O&amp;M) costs for groundwater level monitoring sites and stream gages. Installation costs will be covered by the grant. The GSA will be responsible for funding ongoing O &amp; M of monitoring sites.  Costs assume sites will be equipped with telemetry to automatically view data online in near real-time via an online stakeholder portal. Monitoring equipment will be installed once wells are drilled, and domestic wells and stream gage locations are selected for monitoring. </w:t>
      </w:r>
    </w:p>
    <w:p w14:paraId="398598B5" w14:textId="77777777" w:rsidR="008B456B" w:rsidRDefault="008B456B" w:rsidP="008B456B">
      <w:pPr>
        <w:keepNext/>
        <w:keepLines/>
      </w:pPr>
      <w:r>
        <w:rPr>
          <w:noProof/>
        </w:rPr>
        <w:lastRenderedPageBreak/>
        <mc:AlternateContent>
          <mc:Choice Requires="wps">
            <w:drawing>
              <wp:anchor distT="0" distB="0" distL="114300" distR="114300" simplePos="0" relativeHeight="251673600" behindDoc="1" locked="0" layoutInCell="1" allowOverlap="1" wp14:anchorId="2424952D" wp14:editId="2A7BAF99">
                <wp:simplePos x="0" y="0"/>
                <wp:positionH relativeFrom="margin">
                  <wp:align>right</wp:align>
                </wp:positionH>
                <wp:positionV relativeFrom="paragraph">
                  <wp:posOffset>8890</wp:posOffset>
                </wp:positionV>
                <wp:extent cx="5943600" cy="222885"/>
                <wp:effectExtent l="0" t="0" r="0" b="5715"/>
                <wp:wrapNone/>
                <wp:docPr id="1279115740" name="Text Box 1"/>
                <wp:cNvGraphicFramePr/>
                <a:graphic xmlns:a="http://schemas.openxmlformats.org/drawingml/2006/main">
                  <a:graphicData uri="http://schemas.microsoft.com/office/word/2010/wordprocessingShape">
                    <wps:wsp>
                      <wps:cNvSpPr txBox="1"/>
                      <wps:spPr>
                        <a:xfrm>
                          <a:off x="0" y="0"/>
                          <a:ext cx="5943600" cy="222885"/>
                        </a:xfrm>
                        <a:prstGeom prst="rect">
                          <a:avLst/>
                        </a:prstGeom>
                        <a:solidFill>
                          <a:prstClr val="white"/>
                        </a:solidFill>
                        <a:ln>
                          <a:noFill/>
                        </a:ln>
                      </wps:spPr>
                      <wps:txbx>
                        <w:txbxContent>
                          <w:p w14:paraId="267E6A73" w14:textId="77777777" w:rsidR="008B456B" w:rsidRPr="00BC0353" w:rsidRDefault="008B456B" w:rsidP="008B456B">
                            <w:pPr>
                              <w:pStyle w:val="Caption"/>
                              <w:rPr>
                                <w:sz w:val="24"/>
                                <w:szCs w:val="24"/>
                              </w:rPr>
                            </w:pPr>
                            <w:r>
                              <w:rPr>
                                <w:sz w:val="24"/>
                                <w:szCs w:val="24"/>
                              </w:rPr>
                              <w:t>Table 3</w:t>
                            </w:r>
                            <w:r w:rsidRPr="00BC0353">
                              <w:rPr>
                                <w:sz w:val="24"/>
                                <w:szCs w:val="24"/>
                              </w:rPr>
                              <w:t xml:space="preserve">. </w:t>
                            </w:r>
                            <w:r>
                              <w:rPr>
                                <w:sz w:val="24"/>
                                <w:szCs w:val="24"/>
                              </w:rPr>
                              <w:t xml:space="preserve">Installation and O&amp;M costs for groundwater level monitoring sites and stream gages. </w:t>
                            </w:r>
                            <w:r w:rsidRPr="00BC0353">
                              <w:rPr>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952D" id="_x0000_s1030" type="#_x0000_t202" style="position:absolute;margin-left:416.8pt;margin-top:.7pt;width:468pt;height:17.5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" stroked="f">
                <v:textbox inset="0,0,0,0">
                  <w:txbxContent>
                    <w:p w14:paraId="267E6A73" w14:textId="77777777" w:rsidR="008B456B" w:rsidRPr="00BC0353" w:rsidRDefault="008B456B" w:rsidP="008B456B">
                      <w:pPr>
                        <w:pStyle w:val="Caption"/>
                        <w:rPr>
                          <w:sz w:val="24"/>
                          <w:szCs w:val="24"/>
                        </w:rPr>
                      </w:pPr>
                      <w:r>
                        <w:rPr>
                          <w:sz w:val="24"/>
                          <w:szCs w:val="24"/>
                        </w:rPr>
                        <w:t>Table 3</w:t>
                      </w:r>
                      <w:r w:rsidRPr="00BC0353">
                        <w:rPr>
                          <w:sz w:val="24"/>
                          <w:szCs w:val="24"/>
                        </w:rPr>
                        <w:t xml:space="preserve">. </w:t>
                      </w:r>
                      <w:r>
                        <w:rPr>
                          <w:sz w:val="24"/>
                          <w:szCs w:val="24"/>
                        </w:rPr>
                        <w:t xml:space="preserve">Installation and O&amp;M costs for groundwater level monitoring sites and stream gages. </w:t>
                      </w:r>
                      <w:r w:rsidRPr="00BC0353">
                        <w:rPr>
                          <w:sz w:val="24"/>
                          <w:szCs w:val="24"/>
                        </w:rPr>
                        <w:t xml:space="preserve"> </w:t>
                      </w:r>
                    </w:p>
                  </w:txbxContent>
                </v:textbox>
                <w10:wrap anchorx="margin"/>
              </v:shape>
            </w:pict>
          </mc:Fallback>
        </mc:AlternateContent>
      </w:r>
    </w:p>
    <w:tbl>
      <w:tblPr>
        <w:tblStyle w:val="TableGrid"/>
        <w:tblW w:w="0" w:type="auto"/>
        <w:tblLook w:val="04A0" w:firstRow="1" w:lastRow="0" w:firstColumn="1" w:lastColumn="0" w:noHBand="0" w:noVBand="1"/>
      </w:tblPr>
      <w:tblGrid>
        <w:gridCol w:w="3116"/>
        <w:gridCol w:w="3117"/>
        <w:gridCol w:w="3117"/>
      </w:tblGrid>
      <w:tr w:rsidR="008B456B" w14:paraId="4277AD19" w14:textId="77777777" w:rsidTr="00C01E2F">
        <w:tc>
          <w:tcPr>
            <w:tcW w:w="3116" w:type="dxa"/>
            <w:shd w:val="clear" w:color="auto" w:fill="CBDDD8" w:themeFill="accent6" w:themeFillTint="66"/>
          </w:tcPr>
          <w:p w14:paraId="5540351D" w14:textId="77777777" w:rsidR="008B456B" w:rsidRPr="00BC0353" w:rsidRDefault="008B456B" w:rsidP="008B456B">
            <w:pPr>
              <w:keepNext/>
              <w:keepLines/>
              <w:jc w:val="center"/>
              <w:rPr>
                <w:b/>
                <w:bCs/>
              </w:rPr>
            </w:pPr>
            <w:r>
              <w:rPr>
                <w:b/>
                <w:bCs/>
              </w:rPr>
              <w:t>Site Type</w:t>
            </w:r>
          </w:p>
        </w:tc>
        <w:tc>
          <w:tcPr>
            <w:tcW w:w="3117" w:type="dxa"/>
            <w:shd w:val="clear" w:color="auto" w:fill="CBDDD8" w:themeFill="accent6" w:themeFillTint="66"/>
          </w:tcPr>
          <w:p w14:paraId="1B427FD1" w14:textId="77777777" w:rsidR="008B456B" w:rsidRPr="00BC0353" w:rsidRDefault="008B456B" w:rsidP="008B456B">
            <w:pPr>
              <w:keepNext/>
              <w:keepLines/>
              <w:jc w:val="center"/>
              <w:rPr>
                <w:b/>
                <w:bCs/>
              </w:rPr>
            </w:pPr>
            <w:r>
              <w:rPr>
                <w:b/>
                <w:bCs/>
              </w:rPr>
              <w:t>Installation Costs ($/site)</w:t>
            </w:r>
          </w:p>
        </w:tc>
        <w:tc>
          <w:tcPr>
            <w:tcW w:w="3117" w:type="dxa"/>
            <w:shd w:val="clear" w:color="auto" w:fill="CBDDD8" w:themeFill="accent6" w:themeFillTint="66"/>
          </w:tcPr>
          <w:p w14:paraId="612E2614" w14:textId="77777777" w:rsidR="008B456B" w:rsidRPr="00BC0353" w:rsidRDefault="008B456B" w:rsidP="008B456B">
            <w:pPr>
              <w:keepNext/>
              <w:keepLines/>
              <w:jc w:val="center"/>
              <w:rPr>
                <w:b/>
                <w:bCs/>
              </w:rPr>
            </w:pPr>
            <w:r>
              <w:rPr>
                <w:b/>
                <w:bCs/>
              </w:rPr>
              <w:t>Annual O&amp;M Cost ($/site)</w:t>
            </w:r>
          </w:p>
        </w:tc>
      </w:tr>
      <w:tr w:rsidR="008B456B" w14:paraId="1362E643" w14:textId="77777777" w:rsidTr="00C01E2F">
        <w:tc>
          <w:tcPr>
            <w:tcW w:w="3116" w:type="dxa"/>
          </w:tcPr>
          <w:p w14:paraId="04387E23" w14:textId="77777777" w:rsidR="008B456B" w:rsidRPr="0077008B" w:rsidRDefault="008B456B" w:rsidP="008B456B">
            <w:pPr>
              <w:keepNext/>
              <w:keepLines/>
              <w:jc w:val="center"/>
              <w:rPr>
                <w:vertAlign w:val="superscript"/>
              </w:rPr>
            </w:pPr>
            <w:r>
              <w:t>Groundwater Level</w:t>
            </w:r>
            <w:r>
              <w:rPr>
                <w:vertAlign w:val="superscript"/>
              </w:rPr>
              <w:t>1</w:t>
            </w:r>
          </w:p>
        </w:tc>
        <w:tc>
          <w:tcPr>
            <w:tcW w:w="3117" w:type="dxa"/>
          </w:tcPr>
          <w:p w14:paraId="064BC754" w14:textId="77777777" w:rsidR="008B456B" w:rsidRPr="0077008B" w:rsidRDefault="008B456B" w:rsidP="008B456B">
            <w:pPr>
              <w:keepNext/>
              <w:keepLines/>
              <w:jc w:val="center"/>
              <w:rPr>
                <w:vertAlign w:val="superscript"/>
              </w:rPr>
            </w:pPr>
            <w:r>
              <w:t>$6,500 - $11,000</w:t>
            </w:r>
          </w:p>
        </w:tc>
        <w:tc>
          <w:tcPr>
            <w:tcW w:w="3117" w:type="dxa"/>
          </w:tcPr>
          <w:p w14:paraId="242AA75A" w14:textId="77777777" w:rsidR="008B456B" w:rsidRDefault="008B456B" w:rsidP="008B456B">
            <w:pPr>
              <w:keepNext/>
              <w:keepLines/>
              <w:jc w:val="center"/>
            </w:pPr>
            <w:r>
              <w:t>$1,000 - $2,500</w:t>
            </w:r>
          </w:p>
        </w:tc>
      </w:tr>
      <w:tr w:rsidR="008B456B" w14:paraId="2AB4743C" w14:textId="77777777" w:rsidTr="00C01E2F">
        <w:tc>
          <w:tcPr>
            <w:tcW w:w="3116" w:type="dxa"/>
          </w:tcPr>
          <w:p w14:paraId="54286584" w14:textId="77777777" w:rsidR="008B456B" w:rsidRPr="0077008B" w:rsidRDefault="008B456B" w:rsidP="008B456B">
            <w:pPr>
              <w:keepNext/>
              <w:keepLines/>
              <w:jc w:val="center"/>
              <w:rPr>
                <w:vertAlign w:val="superscript"/>
              </w:rPr>
            </w:pPr>
            <w:r>
              <w:t>Stream Gage</w:t>
            </w:r>
            <w:r>
              <w:rPr>
                <w:vertAlign w:val="superscript"/>
              </w:rPr>
              <w:t>2</w:t>
            </w:r>
          </w:p>
        </w:tc>
        <w:tc>
          <w:tcPr>
            <w:tcW w:w="3117" w:type="dxa"/>
          </w:tcPr>
          <w:p w14:paraId="2CCB563E" w14:textId="77777777" w:rsidR="008B456B" w:rsidRPr="0077008B" w:rsidRDefault="008B456B" w:rsidP="008B456B">
            <w:pPr>
              <w:keepNext/>
              <w:keepLines/>
              <w:jc w:val="center"/>
              <w:rPr>
                <w:vertAlign w:val="superscript"/>
              </w:rPr>
            </w:pPr>
            <w:r>
              <w:t>Up to $35,000</w:t>
            </w:r>
          </w:p>
        </w:tc>
        <w:tc>
          <w:tcPr>
            <w:tcW w:w="3117" w:type="dxa"/>
          </w:tcPr>
          <w:p w14:paraId="0FB84179" w14:textId="77777777" w:rsidR="008B456B" w:rsidRPr="00C53651" w:rsidRDefault="008B456B" w:rsidP="008B456B">
            <w:pPr>
              <w:keepNext/>
              <w:keepLines/>
              <w:jc w:val="center"/>
            </w:pPr>
            <w:r>
              <w:t>$4,000 to $8,000</w:t>
            </w:r>
          </w:p>
        </w:tc>
      </w:tr>
    </w:tbl>
    <w:p w14:paraId="67DBDAE4" w14:textId="77777777" w:rsidR="008B456B" w:rsidRPr="0077008B" w:rsidRDefault="008B456B" w:rsidP="008B456B">
      <w:pPr>
        <w:keepNext/>
        <w:keepLines/>
        <w:rPr>
          <w:sz w:val="18"/>
          <w:szCs w:val="18"/>
        </w:rPr>
      </w:pPr>
      <w:r w:rsidRPr="0077008B">
        <w:rPr>
          <w:sz w:val="18"/>
          <w:szCs w:val="18"/>
        </w:rPr>
        <w:t>Notes:</w:t>
      </w:r>
    </w:p>
    <w:p w14:paraId="78694666" w14:textId="77777777" w:rsidR="008B456B" w:rsidRPr="0077008B" w:rsidRDefault="008B456B" w:rsidP="008B456B">
      <w:pPr>
        <w:pStyle w:val="ListParagraph"/>
        <w:keepNext/>
        <w:keepLines/>
        <w:numPr>
          <w:ilvl w:val="0"/>
          <w:numId w:val="24"/>
        </w:numPr>
        <w:rPr>
          <w:sz w:val="18"/>
          <w:szCs w:val="18"/>
        </w:rPr>
      </w:pPr>
      <w:r>
        <w:rPr>
          <w:sz w:val="18"/>
          <w:szCs w:val="18"/>
        </w:rPr>
        <w:t>Costs vary based</w:t>
      </w:r>
      <w:r w:rsidRPr="0077008B">
        <w:rPr>
          <w:sz w:val="18"/>
          <w:szCs w:val="18"/>
        </w:rPr>
        <w:t xml:space="preserve"> on the </w:t>
      </w:r>
      <w:r>
        <w:rPr>
          <w:sz w:val="18"/>
          <w:szCs w:val="18"/>
        </w:rPr>
        <w:t xml:space="preserve">following factors: </w:t>
      </w:r>
      <w:r w:rsidRPr="0077008B">
        <w:rPr>
          <w:sz w:val="18"/>
          <w:szCs w:val="18"/>
        </w:rPr>
        <w:t xml:space="preserve">type of sensor (e.g., sonar vs submersible), number of well completions, </w:t>
      </w:r>
      <w:r>
        <w:rPr>
          <w:sz w:val="18"/>
          <w:szCs w:val="18"/>
        </w:rPr>
        <w:t xml:space="preserve">well casing diameter, </w:t>
      </w:r>
      <w:r w:rsidRPr="0077008B">
        <w:rPr>
          <w:sz w:val="18"/>
          <w:szCs w:val="18"/>
        </w:rPr>
        <w:t xml:space="preserve">and depth to groundwater. </w:t>
      </w:r>
    </w:p>
    <w:p w14:paraId="79BEB4A2" w14:textId="77777777" w:rsidR="008B456B" w:rsidRPr="0077008B" w:rsidRDefault="008B456B" w:rsidP="008B456B">
      <w:pPr>
        <w:pStyle w:val="ListParagraph"/>
        <w:keepNext/>
        <w:keepLines/>
        <w:numPr>
          <w:ilvl w:val="0"/>
          <w:numId w:val="24"/>
        </w:numPr>
        <w:rPr>
          <w:sz w:val="18"/>
          <w:szCs w:val="18"/>
        </w:rPr>
        <w:sectPr w:rsidR="008B456B" w:rsidRPr="0077008B" w:rsidSect="008B456B">
          <w:pgSz w:w="12240" w:h="15840"/>
          <w:pgMar w:top="1440" w:right="1440" w:bottom="1440" w:left="1440" w:header="720" w:footer="432" w:gutter="0"/>
          <w:cols w:space="720"/>
        </w:sectPr>
      </w:pPr>
      <w:r>
        <w:rPr>
          <w:sz w:val="18"/>
          <w:szCs w:val="18"/>
        </w:rPr>
        <w:t xml:space="preserve">Costs vary based on site flow conditions and ease of access.  Assumes a minimum of three stream measurements at low, medium, and high flow are conducted to develop stage – discharge curve and at least one measurement is taken every year to validate stage-discharge curve. </w:t>
      </w:r>
    </w:p>
    <w:p w14:paraId="5B141845" w14:textId="77777777" w:rsidR="00B22B86" w:rsidRDefault="00B22B86" w:rsidP="00BC0353"/>
    <w:p w14:paraId="288AAC4B" w14:textId="77777777" w:rsidR="00B22B86" w:rsidRDefault="00B22B86" w:rsidP="00B22B86">
      <w:pPr>
        <w:jc w:val="center"/>
      </w:pPr>
    </w:p>
    <w:p w14:paraId="7656E495" w14:textId="77777777" w:rsidR="00460695" w:rsidRDefault="00460695" w:rsidP="00B22B86">
      <w:pPr>
        <w:jc w:val="center"/>
      </w:pPr>
    </w:p>
    <w:p w14:paraId="7047CE13" w14:textId="77777777" w:rsidR="00460695" w:rsidRDefault="00460695" w:rsidP="00B22B86">
      <w:pPr>
        <w:jc w:val="center"/>
      </w:pPr>
    </w:p>
    <w:p w14:paraId="12DA2EFB" w14:textId="77777777" w:rsidR="00460695" w:rsidRDefault="00460695" w:rsidP="00B22B86">
      <w:pPr>
        <w:jc w:val="center"/>
      </w:pPr>
    </w:p>
    <w:p w14:paraId="3EC58E83" w14:textId="77777777" w:rsidR="00460695" w:rsidRDefault="00460695" w:rsidP="00B22B86">
      <w:pPr>
        <w:jc w:val="center"/>
      </w:pPr>
    </w:p>
    <w:p w14:paraId="6FAEEA2F" w14:textId="77777777" w:rsidR="00460695" w:rsidRDefault="00460695" w:rsidP="00B22B86">
      <w:pPr>
        <w:jc w:val="center"/>
      </w:pPr>
    </w:p>
    <w:p w14:paraId="572FFF9A" w14:textId="77777777" w:rsidR="00460695" w:rsidRDefault="00460695" w:rsidP="00B22B86">
      <w:pPr>
        <w:jc w:val="center"/>
      </w:pPr>
    </w:p>
    <w:p w14:paraId="5775C4F4" w14:textId="77777777" w:rsidR="00460695" w:rsidRDefault="00460695" w:rsidP="00B22B86">
      <w:pPr>
        <w:jc w:val="center"/>
      </w:pPr>
    </w:p>
    <w:p w14:paraId="5907E5E8" w14:textId="77777777" w:rsidR="00460695" w:rsidRDefault="00460695" w:rsidP="00B22B86">
      <w:pPr>
        <w:jc w:val="center"/>
      </w:pPr>
    </w:p>
    <w:p w14:paraId="11366B62" w14:textId="77777777" w:rsidR="00B22B86" w:rsidRDefault="00B22B86" w:rsidP="00B22B86">
      <w:pPr>
        <w:jc w:val="center"/>
      </w:pPr>
    </w:p>
    <w:p w14:paraId="528A1419" w14:textId="77777777" w:rsidR="00B22B86" w:rsidRDefault="00B22B86" w:rsidP="00B22B86">
      <w:pPr>
        <w:jc w:val="center"/>
      </w:pPr>
    </w:p>
    <w:p w14:paraId="7E8DD2CA" w14:textId="29349B9E" w:rsidR="00B22B86" w:rsidRDefault="00B22B86" w:rsidP="00BC0353">
      <w:pPr>
        <w:pStyle w:val="Heading1"/>
        <w:jc w:val="center"/>
      </w:pPr>
      <w:r>
        <w:t>A</w:t>
      </w:r>
      <w:r w:rsidR="00C45A83">
        <w:t>PPENDIX A</w:t>
      </w:r>
    </w:p>
    <w:p w14:paraId="20864DFD" w14:textId="77777777" w:rsidR="00C45A83" w:rsidRDefault="00460695" w:rsidP="00BC0353">
      <w:pPr>
        <w:pStyle w:val="Heading1"/>
        <w:jc w:val="center"/>
      </w:pPr>
      <w:r>
        <w:t xml:space="preserve">Vina Subbasin </w:t>
      </w:r>
      <w:r w:rsidR="00B22B86">
        <w:t>Groundwater Hydrographs</w:t>
      </w:r>
      <w:r>
        <w:t xml:space="preserve"> for Existing Shallow Wells</w:t>
      </w:r>
      <w:r w:rsidR="00C45A83">
        <w:t xml:space="preserve"> </w:t>
      </w:r>
    </w:p>
    <w:p w14:paraId="1DFB8051" w14:textId="5ABD056F" w:rsidR="00460695" w:rsidRPr="00460695" w:rsidRDefault="00C45A83" w:rsidP="00BC0353">
      <w:pPr>
        <w:pStyle w:val="Heading1"/>
        <w:jc w:val="center"/>
      </w:pPr>
      <w:r>
        <w:t>(Identified Through Dr. Todd Greene’s Analysis)</w:t>
      </w:r>
    </w:p>
    <w:p w14:paraId="6E5534EC" w14:textId="2D9C6D3D" w:rsidR="004D19A9" w:rsidRPr="003D5524" w:rsidRDefault="004D19A9" w:rsidP="00BC0353">
      <w:pPr>
        <w:jc w:val="center"/>
      </w:pPr>
    </w:p>
    <w:sectPr w:rsidR="004D19A9" w:rsidRPr="003D5524" w:rsidSect="00B65873">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65C5C" w14:textId="77777777" w:rsidR="002C5373" w:rsidRDefault="002C5373">
      <w:pPr>
        <w:spacing w:after="0"/>
      </w:pPr>
      <w:r>
        <w:separator/>
      </w:r>
    </w:p>
  </w:endnote>
  <w:endnote w:type="continuationSeparator" w:id="0">
    <w:p w14:paraId="0F6ECDA7" w14:textId="77777777" w:rsidR="002C5373" w:rsidRDefault="002C5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default"/>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doni Bk BT">
    <w:panose1 w:val="00000000000000000000"/>
    <w:charset w:val="00"/>
    <w:family w:val="roman"/>
    <w:notTrueType/>
    <w:pitch w:val="default"/>
  </w:font>
  <w:font w:name="Avenir Next LT Pro">
    <w:charset w:val="00"/>
    <w:family w:val="swiss"/>
    <w:pitch w:val="variable"/>
    <w:sig w:usb0="800000EF" w:usb1="5000204A" w:usb2="00000000" w:usb3="00000000" w:csb0="00000093" w:csb1="00000000"/>
  </w:font>
  <w:font w:name="Futura Md BT">
    <w:panose1 w:val="00000000000000000000"/>
    <w:charset w:val="00"/>
    <w:family w:val="roman"/>
    <w:notTrueType/>
    <w:pitch w:val="default"/>
  </w:font>
  <w:font w:name="Futura Bk BT">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7A8E" w14:textId="6C86824E" w:rsidR="001D4688" w:rsidRDefault="00B22B86">
    <w:pPr>
      <w:pBdr>
        <w:top w:val="single" w:sz="4" w:space="1" w:color="578679"/>
      </w:pBdr>
      <w:tabs>
        <w:tab w:val="right" w:pos="10800"/>
      </w:tabs>
      <w:spacing w:before="60" w:after="0"/>
      <w:rPr>
        <w:sz w:val="18"/>
        <w:szCs w:val="18"/>
      </w:rPr>
    </w:pPr>
    <w:r>
      <w:rPr>
        <w:sz w:val="18"/>
        <w:szCs w:val="18"/>
      </w:rPr>
      <w:t>Vina</w:t>
    </w:r>
    <w:r w:rsidR="009D37E3">
      <w:rPr>
        <w:sz w:val="18"/>
        <w:szCs w:val="18"/>
      </w:rPr>
      <w:t xml:space="preserve"> Groundwater Sustainability Agency</w:t>
    </w:r>
    <w:r w:rsidR="009D37E3">
      <w:rPr>
        <w:sz w:val="18"/>
        <w:szCs w:val="18"/>
      </w:rPr>
      <w:tab/>
      <w:t xml:space="preserve">   August 2024   |  </w:t>
    </w:r>
    <w:r w:rsidR="009D37E3">
      <w:rPr>
        <w:sz w:val="18"/>
        <w:szCs w:val="18"/>
      </w:rPr>
      <w:fldChar w:fldCharType="begin"/>
    </w:r>
    <w:r w:rsidR="009D37E3">
      <w:rPr>
        <w:sz w:val="18"/>
        <w:szCs w:val="18"/>
      </w:rPr>
      <w:instrText>PAGE</w:instrText>
    </w:r>
    <w:r w:rsidR="009D37E3">
      <w:rPr>
        <w:sz w:val="18"/>
        <w:szCs w:val="18"/>
      </w:rPr>
      <w:fldChar w:fldCharType="separate"/>
    </w:r>
    <w:r w:rsidR="00DD0C44">
      <w:rPr>
        <w:noProof/>
        <w:sz w:val="18"/>
        <w:szCs w:val="18"/>
      </w:rPr>
      <w:t>1</w:t>
    </w:r>
    <w:r w:rsidR="009D37E3">
      <w:rPr>
        <w:sz w:val="18"/>
        <w:szCs w:val="18"/>
      </w:rPr>
      <w:fldChar w:fldCharType="end"/>
    </w:r>
  </w:p>
  <w:p w14:paraId="62CF83FB" w14:textId="7F41D3D5" w:rsidR="001D4688" w:rsidRDefault="009D37E3">
    <w:pPr>
      <w:pBdr>
        <w:top w:val="nil"/>
        <w:left w:val="nil"/>
        <w:bottom w:val="nil"/>
        <w:right w:val="nil"/>
        <w:between w:val="nil"/>
      </w:pBdr>
      <w:tabs>
        <w:tab w:val="right" w:pos="10800"/>
      </w:tabs>
      <w:rPr>
        <w:rFonts w:eastAsia="Calibri" w:cs="Calibri"/>
        <w:b/>
        <w:smallCaps/>
        <w:color w:val="3B3838"/>
        <w:sz w:val="16"/>
        <w:szCs w:val="16"/>
      </w:rPr>
    </w:pPr>
    <w:r>
      <w:rPr>
        <w:b/>
        <w:smallCaps/>
        <w:color w:val="3B3838"/>
        <w:sz w:val="16"/>
        <w:szCs w:val="16"/>
      </w:rPr>
      <w:t>Groundwater Monitoring Network Enhancement</w:t>
    </w:r>
    <w:r w:rsidR="00B22B86">
      <w:rPr>
        <w:b/>
        <w:smallCaps/>
        <w:color w:val="3B3838"/>
        <w:sz w:val="16"/>
        <w:szCs w:val="16"/>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C82F7" w14:textId="77777777" w:rsidR="002C5373" w:rsidRDefault="002C5373">
      <w:pPr>
        <w:spacing w:after="0"/>
      </w:pPr>
      <w:r>
        <w:separator/>
      </w:r>
    </w:p>
  </w:footnote>
  <w:footnote w:type="continuationSeparator" w:id="0">
    <w:p w14:paraId="3D55A3E6" w14:textId="77777777" w:rsidR="002C5373" w:rsidRDefault="002C5373">
      <w:pPr>
        <w:spacing w:after="0"/>
      </w:pPr>
      <w:r>
        <w:continuationSeparator/>
      </w:r>
    </w:p>
  </w:footnote>
  <w:footnote w:id="1">
    <w:p w14:paraId="24A614A8" w14:textId="558A7671" w:rsidR="007E5624" w:rsidRDefault="007E5624">
      <w:pPr>
        <w:pStyle w:val="FootnoteText"/>
      </w:pPr>
      <w:r>
        <w:rPr>
          <w:rStyle w:val="FootnoteReference"/>
        </w:rPr>
        <w:footnoteRef/>
      </w:r>
      <w:r>
        <w:t xml:space="preserve"> Vina GSP and Determination Letter available here: </w:t>
      </w:r>
      <w:hyperlink r:id="rId1" w:history="1">
        <w:r w:rsidRPr="00127CFB">
          <w:rPr>
            <w:rStyle w:val="Hyperlink"/>
          </w:rPr>
          <w:t>https://sgma.water.ca.gov/portal/gsp/preview/86</w:t>
        </w:r>
      </w:hyperlink>
      <w:r>
        <w:t xml:space="preserve"> </w:t>
      </w:r>
    </w:p>
  </w:footnote>
  <w:footnote w:id="2">
    <w:p w14:paraId="0414D1D2" w14:textId="77777777" w:rsidR="009B0138" w:rsidRDefault="009B0138" w:rsidP="009B0138">
      <w:pPr>
        <w:pStyle w:val="FootnoteText"/>
      </w:pPr>
      <w:r>
        <w:rPr>
          <w:rStyle w:val="FootnoteReference"/>
        </w:rPr>
        <w:footnoteRef/>
      </w:r>
      <w:r>
        <w:t xml:space="preserve"> Plan available here: </w:t>
      </w:r>
      <w:hyperlink r:id="rId2" w:history="1">
        <w:r w:rsidRPr="00127CFB">
          <w:rPr>
            <w:rStyle w:val="Hyperlink"/>
          </w:rPr>
          <w:t>https://www.waterboards.ca.gov/waterrights/water_issues/programs/stream_gaging_plan/</w:t>
        </w:r>
      </w:hyperlink>
      <w:r>
        <w:t xml:space="preserve"> </w:t>
      </w:r>
    </w:p>
  </w:footnote>
  <w:footnote w:id="3">
    <w:p w14:paraId="7C3EAFC5" w14:textId="77777777" w:rsidR="003140A1" w:rsidRDefault="003140A1" w:rsidP="003140A1">
      <w:pPr>
        <w:pStyle w:val="FootnoteText"/>
      </w:pPr>
      <w:r>
        <w:rPr>
          <w:rStyle w:val="FootnoteReference"/>
        </w:rPr>
        <w:footnoteRef/>
      </w:r>
      <w:r>
        <w:t xml:space="preserve"> California’s Groundwater Live website link: </w:t>
      </w:r>
      <w:hyperlink r:id="rId3" w:anchor="wells" w:history="1">
        <w:r w:rsidRPr="00127CFB">
          <w:rPr>
            <w:rStyle w:val="Hyperlink"/>
          </w:rPr>
          <w:t>https://sgma.water.ca.gov/CalGWLive/#wells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282913"/>
      <w:docPartObj>
        <w:docPartGallery w:val="Watermarks"/>
        <w:docPartUnique/>
      </w:docPartObj>
    </w:sdtPr>
    <w:sdtContent>
      <w:p w14:paraId="125244EC" w14:textId="6F5520DC" w:rsidR="00B6150F" w:rsidRDefault="00000000">
        <w:pPr>
          <w:pStyle w:val="Header"/>
        </w:pPr>
        <w:r>
          <w:rPr>
            <w:noProof/>
          </w:rPr>
          <w:pict w14:anchorId="62BC3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D41B5"/>
    <w:multiLevelType w:val="hybridMultilevel"/>
    <w:tmpl w:val="C3BCADF4"/>
    <w:lvl w:ilvl="0" w:tplc="8D0A6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D7DF4"/>
    <w:multiLevelType w:val="hybridMultilevel"/>
    <w:tmpl w:val="C0BA3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242BF"/>
    <w:multiLevelType w:val="hybridMultilevel"/>
    <w:tmpl w:val="C02C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92F2E"/>
    <w:multiLevelType w:val="multilevel"/>
    <w:tmpl w:val="80048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F5510"/>
    <w:multiLevelType w:val="multilevel"/>
    <w:tmpl w:val="0B529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E47540"/>
    <w:multiLevelType w:val="multilevel"/>
    <w:tmpl w:val="C52827C8"/>
    <w:lvl w:ilvl="0">
      <w:start w:val="1"/>
      <w:numFmt w:val="decimal"/>
      <w:pStyle w:val="Numbered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AA573A"/>
    <w:multiLevelType w:val="multilevel"/>
    <w:tmpl w:val="1FA68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1662A"/>
    <w:multiLevelType w:val="hybridMultilevel"/>
    <w:tmpl w:val="447CD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CE4C5B"/>
    <w:multiLevelType w:val="multilevel"/>
    <w:tmpl w:val="C2E0BC9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BEC34E9"/>
    <w:multiLevelType w:val="multilevel"/>
    <w:tmpl w:val="0ACC9D7E"/>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5BF509BD"/>
    <w:multiLevelType w:val="hybridMultilevel"/>
    <w:tmpl w:val="7F8E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C76D69"/>
    <w:multiLevelType w:val="hybridMultilevel"/>
    <w:tmpl w:val="6396F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DE5F03"/>
    <w:multiLevelType w:val="multilevel"/>
    <w:tmpl w:val="97028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D72785"/>
    <w:multiLevelType w:val="hybridMultilevel"/>
    <w:tmpl w:val="BA087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60F5F"/>
    <w:multiLevelType w:val="multilevel"/>
    <w:tmpl w:val="C2E0BC9A"/>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AB168E5"/>
    <w:multiLevelType w:val="hybridMultilevel"/>
    <w:tmpl w:val="F044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C1B89"/>
    <w:multiLevelType w:val="hybridMultilevel"/>
    <w:tmpl w:val="27E0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4105B6"/>
    <w:multiLevelType w:val="hybridMultilevel"/>
    <w:tmpl w:val="BFF83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F6F2E"/>
    <w:multiLevelType w:val="multilevel"/>
    <w:tmpl w:val="FBE2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994E10"/>
    <w:multiLevelType w:val="multilevel"/>
    <w:tmpl w:val="0C0A2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574B4E"/>
    <w:multiLevelType w:val="multilevel"/>
    <w:tmpl w:val="53F2D420"/>
    <w:lvl w:ilvl="0">
      <w:start w:val="1"/>
      <w:numFmt w:val="decimal"/>
      <w:pStyle w:val="TableBullet"/>
      <w:lvlText w:val="%1."/>
      <w:lvlJc w:val="left"/>
      <w:pPr>
        <w:tabs>
          <w:tab w:val="num" w:pos="720"/>
        </w:tabs>
        <w:ind w:left="720" w:hanging="720"/>
      </w:pPr>
    </w:lvl>
    <w:lvl w:ilvl="1">
      <w:start w:val="1"/>
      <w:numFmt w:val="decimal"/>
      <w:pStyle w:val="Appendix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0823655">
    <w:abstractNumId w:val="14"/>
  </w:num>
  <w:num w:numId="2" w16cid:durableId="1669214202">
    <w:abstractNumId w:val="5"/>
  </w:num>
  <w:num w:numId="3" w16cid:durableId="733357100">
    <w:abstractNumId w:val="20"/>
  </w:num>
  <w:num w:numId="4" w16cid:durableId="18416590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3163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76546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8409197">
    <w:abstractNumId w:val="3"/>
  </w:num>
  <w:num w:numId="8" w16cid:durableId="1476993602">
    <w:abstractNumId w:val="12"/>
  </w:num>
  <w:num w:numId="9" w16cid:durableId="1936791900">
    <w:abstractNumId w:val="19"/>
  </w:num>
  <w:num w:numId="10" w16cid:durableId="195847630">
    <w:abstractNumId w:val="4"/>
  </w:num>
  <w:num w:numId="11" w16cid:durableId="1486629198">
    <w:abstractNumId w:val="18"/>
  </w:num>
  <w:num w:numId="12" w16cid:durableId="2003973170">
    <w:abstractNumId w:val="6"/>
  </w:num>
  <w:num w:numId="13" w16cid:durableId="1128738426">
    <w:abstractNumId w:val="9"/>
  </w:num>
  <w:num w:numId="14" w16cid:durableId="187527494">
    <w:abstractNumId w:val="8"/>
  </w:num>
  <w:num w:numId="15" w16cid:durableId="1196894959">
    <w:abstractNumId w:val="10"/>
  </w:num>
  <w:num w:numId="16" w16cid:durableId="1876428886">
    <w:abstractNumId w:val="1"/>
  </w:num>
  <w:num w:numId="17" w16cid:durableId="1670256249">
    <w:abstractNumId w:val="7"/>
  </w:num>
  <w:num w:numId="18" w16cid:durableId="1764640124">
    <w:abstractNumId w:val="13"/>
  </w:num>
  <w:num w:numId="19" w16cid:durableId="1777554356">
    <w:abstractNumId w:val="17"/>
  </w:num>
  <w:num w:numId="20" w16cid:durableId="1629122145">
    <w:abstractNumId w:val="11"/>
  </w:num>
  <w:num w:numId="21" w16cid:durableId="226033914">
    <w:abstractNumId w:val="2"/>
  </w:num>
  <w:num w:numId="22" w16cid:durableId="2029284491">
    <w:abstractNumId w:val="15"/>
  </w:num>
  <w:num w:numId="23" w16cid:durableId="954598379">
    <w:abstractNumId w:val="16"/>
  </w:num>
  <w:num w:numId="24" w16cid:durableId="703284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688"/>
    <w:rsid w:val="00047D19"/>
    <w:rsid w:val="000A2CFE"/>
    <w:rsid w:val="000B78FE"/>
    <w:rsid w:val="000C3D92"/>
    <w:rsid w:val="000C4B81"/>
    <w:rsid w:val="00101A03"/>
    <w:rsid w:val="0011532E"/>
    <w:rsid w:val="001202AF"/>
    <w:rsid w:val="00171052"/>
    <w:rsid w:val="0017606B"/>
    <w:rsid w:val="001A4D0B"/>
    <w:rsid w:val="001B5225"/>
    <w:rsid w:val="001D4688"/>
    <w:rsid w:val="001F0A40"/>
    <w:rsid w:val="001F2306"/>
    <w:rsid w:val="002176FE"/>
    <w:rsid w:val="00217EEE"/>
    <w:rsid w:val="002244FC"/>
    <w:rsid w:val="00233A31"/>
    <w:rsid w:val="002561B6"/>
    <w:rsid w:val="002B3D5B"/>
    <w:rsid w:val="002C5373"/>
    <w:rsid w:val="003140A1"/>
    <w:rsid w:val="00314E7B"/>
    <w:rsid w:val="003C3164"/>
    <w:rsid w:val="003C4D0D"/>
    <w:rsid w:val="003D5524"/>
    <w:rsid w:val="00400016"/>
    <w:rsid w:val="0041461D"/>
    <w:rsid w:val="00414A5C"/>
    <w:rsid w:val="00441083"/>
    <w:rsid w:val="00460695"/>
    <w:rsid w:val="0046076C"/>
    <w:rsid w:val="004B7D34"/>
    <w:rsid w:val="004D19A9"/>
    <w:rsid w:val="004D4548"/>
    <w:rsid w:val="00525B53"/>
    <w:rsid w:val="00536C2C"/>
    <w:rsid w:val="0054430C"/>
    <w:rsid w:val="005612BC"/>
    <w:rsid w:val="0056410F"/>
    <w:rsid w:val="005738A0"/>
    <w:rsid w:val="00596659"/>
    <w:rsid w:val="00597613"/>
    <w:rsid w:val="005A7D9D"/>
    <w:rsid w:val="005E5B43"/>
    <w:rsid w:val="005F3A8E"/>
    <w:rsid w:val="00606A3A"/>
    <w:rsid w:val="00616800"/>
    <w:rsid w:val="0062131D"/>
    <w:rsid w:val="0062539C"/>
    <w:rsid w:val="006468A8"/>
    <w:rsid w:val="00664F88"/>
    <w:rsid w:val="006720C7"/>
    <w:rsid w:val="006B35E0"/>
    <w:rsid w:val="006B4F8B"/>
    <w:rsid w:val="006C7C2A"/>
    <w:rsid w:val="006D05E1"/>
    <w:rsid w:val="006D7E1E"/>
    <w:rsid w:val="0070649C"/>
    <w:rsid w:val="00721F93"/>
    <w:rsid w:val="00734E7C"/>
    <w:rsid w:val="00782E4E"/>
    <w:rsid w:val="007B4787"/>
    <w:rsid w:val="007C0279"/>
    <w:rsid w:val="007E5624"/>
    <w:rsid w:val="007F21D2"/>
    <w:rsid w:val="008100A0"/>
    <w:rsid w:val="008121AC"/>
    <w:rsid w:val="0084378E"/>
    <w:rsid w:val="008703A3"/>
    <w:rsid w:val="008929D0"/>
    <w:rsid w:val="0089359B"/>
    <w:rsid w:val="008A5DEC"/>
    <w:rsid w:val="008B456B"/>
    <w:rsid w:val="008E7A8A"/>
    <w:rsid w:val="009231C1"/>
    <w:rsid w:val="0094734C"/>
    <w:rsid w:val="00964A7B"/>
    <w:rsid w:val="00966061"/>
    <w:rsid w:val="00974DEF"/>
    <w:rsid w:val="00990F0B"/>
    <w:rsid w:val="009B0138"/>
    <w:rsid w:val="009B1BEE"/>
    <w:rsid w:val="009D37E3"/>
    <w:rsid w:val="009E0316"/>
    <w:rsid w:val="009E755B"/>
    <w:rsid w:val="00A02666"/>
    <w:rsid w:val="00A10371"/>
    <w:rsid w:val="00A277B5"/>
    <w:rsid w:val="00A4633B"/>
    <w:rsid w:val="00A55BE2"/>
    <w:rsid w:val="00A655D1"/>
    <w:rsid w:val="00A67231"/>
    <w:rsid w:val="00A90954"/>
    <w:rsid w:val="00A947F3"/>
    <w:rsid w:val="00AC4A2F"/>
    <w:rsid w:val="00B06B6A"/>
    <w:rsid w:val="00B22B86"/>
    <w:rsid w:val="00B32F66"/>
    <w:rsid w:val="00B40EC1"/>
    <w:rsid w:val="00B57BC1"/>
    <w:rsid w:val="00B6150F"/>
    <w:rsid w:val="00B65873"/>
    <w:rsid w:val="00BC0353"/>
    <w:rsid w:val="00BE0C6C"/>
    <w:rsid w:val="00C079DA"/>
    <w:rsid w:val="00C10B94"/>
    <w:rsid w:val="00C253E4"/>
    <w:rsid w:val="00C33D8A"/>
    <w:rsid w:val="00C45A83"/>
    <w:rsid w:val="00C54355"/>
    <w:rsid w:val="00C5663E"/>
    <w:rsid w:val="00C72BF8"/>
    <w:rsid w:val="00C76292"/>
    <w:rsid w:val="00C8466D"/>
    <w:rsid w:val="00CC0EAA"/>
    <w:rsid w:val="00CC7956"/>
    <w:rsid w:val="00CF4FB0"/>
    <w:rsid w:val="00CF6410"/>
    <w:rsid w:val="00D11B0F"/>
    <w:rsid w:val="00D16A46"/>
    <w:rsid w:val="00D635B4"/>
    <w:rsid w:val="00D74833"/>
    <w:rsid w:val="00DA4F8C"/>
    <w:rsid w:val="00DD0C44"/>
    <w:rsid w:val="00DD20DF"/>
    <w:rsid w:val="00DD5FFD"/>
    <w:rsid w:val="00DD6646"/>
    <w:rsid w:val="00DE21FD"/>
    <w:rsid w:val="00E55019"/>
    <w:rsid w:val="00E61BD4"/>
    <w:rsid w:val="00E723BE"/>
    <w:rsid w:val="00E838BE"/>
    <w:rsid w:val="00EA3D69"/>
    <w:rsid w:val="00ED64DE"/>
    <w:rsid w:val="00ED796C"/>
    <w:rsid w:val="00EF580C"/>
    <w:rsid w:val="00F0233E"/>
    <w:rsid w:val="00F524D8"/>
    <w:rsid w:val="00F70292"/>
    <w:rsid w:val="00F872A4"/>
    <w:rsid w:val="00FC3E29"/>
    <w:rsid w:val="00FC5452"/>
    <w:rsid w:val="00FD0904"/>
    <w:rsid w:val="00FE32FF"/>
    <w:rsid w:val="00FE506D"/>
    <w:rsid w:val="00FF0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8C006"/>
  <w15:docId w15:val="{924490E6-D98D-4C5A-9FFF-B0507E26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164"/>
    <w:rPr>
      <w:rFonts w:eastAsia="Times New Roman" w:cs="Times New Roman"/>
      <w:szCs w:val="20"/>
    </w:rPr>
  </w:style>
  <w:style w:type="paragraph" w:styleId="Heading1">
    <w:name w:val="heading 1"/>
    <w:basedOn w:val="Normal"/>
    <w:next w:val="Normal"/>
    <w:link w:val="Heading1Char"/>
    <w:uiPriority w:val="9"/>
    <w:qFormat/>
    <w:rsid w:val="00607D32"/>
    <w:pPr>
      <w:keepNext/>
      <w:keepLines/>
      <w:spacing w:before="240"/>
      <w:outlineLvl w:val="0"/>
    </w:pPr>
    <w:rPr>
      <w:rFonts w:eastAsiaTheme="majorEastAsia" w:cstheme="minorHAnsi"/>
      <w:b/>
      <w:bCs/>
      <w:color w:val="074976" w:themeColor="text2"/>
      <w:sz w:val="28"/>
      <w:szCs w:val="28"/>
    </w:rPr>
  </w:style>
  <w:style w:type="paragraph" w:styleId="Heading2">
    <w:name w:val="heading 2"/>
    <w:basedOn w:val="Normal"/>
    <w:next w:val="Normal"/>
    <w:link w:val="Heading2Char"/>
    <w:uiPriority w:val="9"/>
    <w:unhideWhenUsed/>
    <w:qFormat/>
    <w:rsid w:val="00607D32"/>
    <w:pPr>
      <w:keepNext/>
      <w:keepLines/>
      <w:spacing w:before="40" w:after="0"/>
      <w:outlineLvl w:val="1"/>
    </w:pPr>
    <w:rPr>
      <w:rFonts w:asciiTheme="majorHAnsi" w:eastAsiaTheme="majorEastAsia" w:hAnsiTheme="majorHAnsi" w:cstheme="majorBidi"/>
      <w:color w:val="364870" w:themeColor="accent1" w:themeShade="BF"/>
      <w:sz w:val="26"/>
      <w:szCs w:val="26"/>
    </w:rPr>
  </w:style>
  <w:style w:type="paragraph" w:styleId="Heading3">
    <w:name w:val="heading 3"/>
    <w:basedOn w:val="Normal"/>
    <w:next w:val="Normal"/>
    <w:link w:val="Heading3Char"/>
    <w:uiPriority w:val="9"/>
    <w:unhideWhenUsed/>
    <w:qFormat/>
    <w:rsid w:val="00CF5E56"/>
    <w:pPr>
      <w:keepNext/>
      <w:keepLines/>
      <w:numPr>
        <w:ilvl w:val="2"/>
      </w:numPr>
      <w:tabs>
        <w:tab w:val="left" w:pos="0"/>
      </w:tabs>
      <w:spacing w:before="240"/>
      <w:ind w:left="720" w:hanging="720"/>
      <w:outlineLvl w:val="2"/>
    </w:pPr>
    <w:rPr>
      <w:rFonts w:ascii="Arial Bold" w:hAnsi="Arial Bold" w:cs="Times New Roman (Headings CS)"/>
      <w:b/>
      <w:bCs/>
      <w:color w:val="074976"/>
      <w:sz w:val="26"/>
      <w:szCs w:val="26"/>
    </w:rPr>
  </w:style>
  <w:style w:type="paragraph" w:styleId="Heading4">
    <w:name w:val="heading 4"/>
    <w:basedOn w:val="Normal"/>
    <w:next w:val="Normal"/>
    <w:link w:val="Heading4Char"/>
    <w:uiPriority w:val="9"/>
    <w:semiHidden/>
    <w:unhideWhenUsed/>
    <w:qFormat/>
    <w:rsid w:val="00CF5E56"/>
    <w:pPr>
      <w:numPr>
        <w:ilvl w:val="3"/>
      </w:numPr>
      <w:suppressAutoHyphens/>
      <w:autoSpaceDE w:val="0"/>
      <w:autoSpaceDN w:val="0"/>
      <w:adjustRightInd w:val="0"/>
      <w:spacing w:before="120" w:line="320" w:lineRule="atLeast"/>
      <w:ind w:left="864" w:hanging="864"/>
      <w:textAlignment w:val="center"/>
      <w:outlineLvl w:val="3"/>
    </w:pPr>
    <w:rPr>
      <w:rFonts w:ascii="Arial" w:hAnsi="Arial" w:cs="Arial"/>
      <w:b/>
      <w:i/>
      <w:iCs/>
      <w:color w:val="064976"/>
      <w:szCs w:val="2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customStyle="1" w:styleId="newbranding">
    <w:name w:val="newbranding"/>
    <w:basedOn w:val="TableNormal"/>
    <w:uiPriority w:val="99"/>
    <w:rsid w:val="00CC4096"/>
    <w:pPr>
      <w:spacing w:after="0"/>
    </w:pPr>
    <w:tblPr/>
  </w:style>
  <w:style w:type="table" w:customStyle="1" w:styleId="GridTable4-Accent12">
    <w:name w:val="Grid Table 4 - Accent 12"/>
    <w:basedOn w:val="TableNormal"/>
    <w:uiPriority w:val="49"/>
    <w:rsid w:val="00CC4096"/>
    <w:pPr>
      <w:spacing w:after="0"/>
    </w:pPr>
    <w:tblPr>
      <w:tblStyleRowBandSize w:val="1"/>
      <w:tblStyleColBandSize w:val="1"/>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rPr>
      <w:jc w:val="center"/>
    </w:trPr>
    <w:tblStylePr w:type="firstRow">
      <w:rPr>
        <w:b/>
        <w:bCs/>
        <w:color w:val="FFFFFF"/>
      </w:rPr>
      <w:tblPr/>
      <w:tcPr>
        <w:shd w:val="clear" w:color="auto" w:fill="1B3360"/>
      </w:tcPr>
    </w:tblStylePr>
    <w:tblStylePr w:type="lastRow">
      <w:rPr>
        <w:b w:val="0"/>
        <w:bCs/>
      </w:rPr>
      <w:tblPr/>
      <w:tcPr>
        <w:tcBorders>
          <w:top w:val="double" w:sz="4" w:space="0" w:color="969696"/>
        </w:tcBorders>
      </w:tcPr>
    </w:tblStylePr>
    <w:tblStylePr w:type="firstCol">
      <w:rPr>
        <w:b w:val="0"/>
        <w:bCs/>
      </w:rPr>
    </w:tblStylePr>
    <w:tblStylePr w:type="lastCol">
      <w:rPr>
        <w:b w:val="0"/>
        <w:bCs/>
      </w:rPr>
    </w:tblStylePr>
    <w:tblStylePr w:type="band1Vert">
      <w:tblPr/>
      <w:tcPr>
        <w:shd w:val="clear" w:color="auto" w:fill="EAEAEA"/>
      </w:tcPr>
    </w:tblStylePr>
    <w:tblStylePr w:type="band1Horz">
      <w:tblPr/>
      <w:tcPr>
        <w:shd w:val="clear" w:color="auto" w:fill="EAEAEA"/>
      </w:tcPr>
    </w:tblStylePr>
  </w:style>
  <w:style w:type="paragraph" w:styleId="Header">
    <w:name w:val="header"/>
    <w:basedOn w:val="Normal"/>
    <w:link w:val="HeaderChar"/>
    <w:rsid w:val="00967869"/>
    <w:pPr>
      <w:tabs>
        <w:tab w:val="center" w:pos="4320"/>
        <w:tab w:val="right" w:pos="8640"/>
      </w:tabs>
    </w:pPr>
  </w:style>
  <w:style w:type="character" w:customStyle="1" w:styleId="HeaderChar">
    <w:name w:val="Header Char"/>
    <w:basedOn w:val="DefaultParagraphFont"/>
    <w:link w:val="Header"/>
    <w:rsid w:val="00967869"/>
    <w:rPr>
      <w:rFonts w:ascii="Bodoni Bk BT" w:eastAsia="Times New Roman" w:hAnsi="Bodoni Bk BT" w:cs="Times New Roman"/>
      <w:sz w:val="24"/>
      <w:szCs w:val="20"/>
    </w:rPr>
  </w:style>
  <w:style w:type="paragraph" w:customStyle="1" w:styleId="BusinessLine">
    <w:name w:val="Business Line"/>
    <w:link w:val="BusinessLineChar"/>
    <w:autoRedefine/>
    <w:rsid w:val="000E1735"/>
    <w:pPr>
      <w:spacing w:before="480" w:after="60"/>
    </w:pPr>
    <w:rPr>
      <w:rFonts w:ascii="Avenir Next LT Pro" w:eastAsia="Times New Roman" w:hAnsi="Avenir Next LT Pro" w:cs="Times New Roman"/>
      <w:b/>
      <w:spacing w:val="20"/>
    </w:rPr>
  </w:style>
  <w:style w:type="paragraph" w:customStyle="1" w:styleId="Hidden">
    <w:name w:val="Hidden"/>
    <w:rsid w:val="00967869"/>
    <w:pPr>
      <w:spacing w:after="0"/>
    </w:pPr>
    <w:rPr>
      <w:rFonts w:ascii="Bodoni Bk BT" w:eastAsia="Times New Roman" w:hAnsi="Bodoni Bk BT" w:cs="Times New Roman"/>
      <w:noProof/>
      <w:vanish/>
      <w:sz w:val="2"/>
      <w:szCs w:val="20"/>
    </w:rPr>
  </w:style>
  <w:style w:type="paragraph" w:customStyle="1" w:styleId="Customname">
    <w:name w:val="Custom name"/>
    <w:rsid w:val="00967869"/>
    <w:pPr>
      <w:spacing w:before="80" w:after="60"/>
    </w:pPr>
    <w:rPr>
      <w:rFonts w:ascii="Futura Md BT" w:eastAsia="Times New Roman" w:hAnsi="Futura Md BT" w:cs="Times New Roman"/>
      <w:noProof/>
      <w:spacing w:val="14"/>
      <w:sz w:val="14"/>
      <w:szCs w:val="20"/>
    </w:rPr>
  </w:style>
  <w:style w:type="paragraph" w:customStyle="1" w:styleId="FuturaIdentifier">
    <w:name w:val="Futura Identifier"/>
    <w:link w:val="FuturaIdentifierChar"/>
    <w:rsid w:val="00967869"/>
    <w:pPr>
      <w:spacing w:before="80" w:after="0"/>
      <w:ind w:left="-14"/>
    </w:pPr>
    <w:rPr>
      <w:rFonts w:ascii="Futura Md BT" w:eastAsia="Times New Roman" w:hAnsi="Futura Md BT" w:cs="Times New Roman"/>
      <w:noProof/>
      <w:spacing w:val="20"/>
      <w:sz w:val="15"/>
      <w:szCs w:val="20"/>
    </w:rPr>
  </w:style>
  <w:style w:type="paragraph" w:customStyle="1" w:styleId="FaxMemo">
    <w:name w:val="Fax Memo"/>
    <w:rsid w:val="00967869"/>
    <w:pPr>
      <w:spacing w:before="40" w:after="60"/>
    </w:pPr>
    <w:rPr>
      <w:rFonts w:ascii="Futura Bk BT" w:eastAsia="Times New Roman" w:hAnsi="Futura Bk BT" w:cs="Times New Roman"/>
      <w:noProof/>
      <w:spacing w:val="180"/>
      <w:szCs w:val="20"/>
    </w:rPr>
  </w:style>
  <w:style w:type="paragraph" w:customStyle="1" w:styleId="Customaddress">
    <w:name w:val="Custom address"/>
    <w:link w:val="CustomaddressChar"/>
    <w:rsid w:val="00967869"/>
    <w:pPr>
      <w:spacing w:before="20" w:after="60"/>
    </w:pPr>
    <w:rPr>
      <w:rFonts w:ascii="Futura Bk BT" w:eastAsia="Times New Roman" w:hAnsi="Futura Bk BT" w:cs="Times New Roman"/>
      <w:noProof/>
      <w:spacing w:val="14"/>
      <w:sz w:val="14"/>
      <w:szCs w:val="20"/>
    </w:rPr>
  </w:style>
  <w:style w:type="paragraph" w:customStyle="1" w:styleId="MemoTitle">
    <w:name w:val="Memo Title"/>
    <w:basedOn w:val="Heading1"/>
    <w:link w:val="MemoTitleChar"/>
    <w:rsid w:val="00967869"/>
    <w:pPr>
      <w:keepLines w:val="0"/>
      <w:spacing w:before="0"/>
      <w:jc w:val="both"/>
    </w:pPr>
    <w:rPr>
      <w:rFonts w:ascii="Arial Black" w:eastAsia="Times New Roman" w:hAnsi="Arial Black" w:cs="Times New Roman"/>
      <w:color w:val="auto"/>
      <w:spacing w:val="20"/>
      <w:sz w:val="72"/>
      <w:szCs w:val="20"/>
    </w:rPr>
  </w:style>
  <w:style w:type="character" w:customStyle="1" w:styleId="Heading1Char">
    <w:name w:val="Heading 1 Char"/>
    <w:basedOn w:val="DefaultParagraphFont"/>
    <w:link w:val="Heading1"/>
    <w:uiPriority w:val="9"/>
    <w:rsid w:val="00607D32"/>
    <w:rPr>
      <w:rFonts w:eastAsiaTheme="majorEastAsia" w:cstheme="minorHAnsi"/>
      <w:b/>
      <w:bCs/>
      <w:color w:val="074976" w:themeColor="text2"/>
      <w:sz w:val="28"/>
      <w:szCs w:val="28"/>
    </w:rPr>
  </w:style>
  <w:style w:type="paragraph" w:customStyle="1" w:styleId="Date">
    <w:name w:val="Date_"/>
    <w:basedOn w:val="FuturaIdentifier"/>
    <w:link w:val="DateChar"/>
    <w:qFormat/>
    <w:rsid w:val="00346B17"/>
    <w:pPr>
      <w:spacing w:before="0" w:after="40"/>
    </w:pPr>
    <w:rPr>
      <w:rFonts w:asciiTheme="minorHAnsi" w:hAnsiTheme="minorHAnsi" w:cstheme="minorHAnsi"/>
      <w:b/>
      <w:bCs/>
      <w:noProof w:val="0"/>
      <w:sz w:val="16"/>
      <w:szCs w:val="22"/>
    </w:rPr>
  </w:style>
  <w:style w:type="paragraph" w:customStyle="1" w:styleId="Address">
    <w:name w:val="Address"/>
    <w:basedOn w:val="Customaddress"/>
    <w:link w:val="AddressChar"/>
    <w:qFormat/>
    <w:rsid w:val="00EC3A68"/>
    <w:pPr>
      <w:spacing w:before="120" w:after="100"/>
    </w:pPr>
    <w:rPr>
      <w:rFonts w:asciiTheme="minorHAnsi" w:hAnsiTheme="minorHAnsi" w:cstheme="minorHAnsi"/>
      <w:noProof w:val="0"/>
      <w:spacing w:val="10"/>
      <w:sz w:val="18"/>
      <w:szCs w:val="22"/>
    </w:rPr>
  </w:style>
  <w:style w:type="character" w:customStyle="1" w:styleId="FuturaIdentifierChar">
    <w:name w:val="Futura Identifier Char"/>
    <w:basedOn w:val="DefaultParagraphFont"/>
    <w:link w:val="FuturaIdentifier"/>
    <w:rsid w:val="00346B17"/>
    <w:rPr>
      <w:rFonts w:ascii="Futura Md BT" w:eastAsia="Times New Roman" w:hAnsi="Futura Md BT" w:cs="Times New Roman"/>
      <w:noProof/>
      <w:spacing w:val="20"/>
      <w:sz w:val="15"/>
      <w:szCs w:val="20"/>
    </w:rPr>
  </w:style>
  <w:style w:type="character" w:customStyle="1" w:styleId="DateChar">
    <w:name w:val="Date_ Char"/>
    <w:basedOn w:val="FuturaIdentifierChar"/>
    <w:link w:val="Date"/>
    <w:rsid w:val="00346B17"/>
    <w:rPr>
      <w:rFonts w:ascii="Futura Md BT" w:eastAsia="Times New Roman" w:hAnsi="Futura Md BT" w:cstheme="minorHAnsi"/>
      <w:b/>
      <w:bCs/>
      <w:noProof/>
      <w:spacing w:val="20"/>
      <w:sz w:val="16"/>
      <w:szCs w:val="20"/>
    </w:rPr>
  </w:style>
  <w:style w:type="paragraph" w:customStyle="1" w:styleId="StaffName">
    <w:name w:val="Staff Name"/>
    <w:basedOn w:val="BusinessLine"/>
    <w:link w:val="StaffNameChar"/>
    <w:qFormat/>
    <w:rsid w:val="00EC3A68"/>
    <w:rPr>
      <w:rFonts w:ascii="Arial Bold" w:hAnsi="Arial Bold" w:cs="Arial"/>
      <w:caps/>
    </w:rPr>
  </w:style>
  <w:style w:type="character" w:customStyle="1" w:styleId="CustomaddressChar">
    <w:name w:val="Custom address Char"/>
    <w:basedOn w:val="DefaultParagraphFont"/>
    <w:link w:val="Customaddress"/>
    <w:rsid w:val="00346B17"/>
    <w:rPr>
      <w:rFonts w:ascii="Futura Bk BT" w:eastAsia="Times New Roman" w:hAnsi="Futura Bk BT" w:cs="Times New Roman"/>
      <w:noProof/>
      <w:spacing w:val="14"/>
      <w:sz w:val="14"/>
      <w:szCs w:val="20"/>
    </w:rPr>
  </w:style>
  <w:style w:type="character" w:customStyle="1" w:styleId="AddressChar">
    <w:name w:val="Address Char"/>
    <w:basedOn w:val="CustomaddressChar"/>
    <w:link w:val="Address"/>
    <w:rsid w:val="00EC3A68"/>
    <w:rPr>
      <w:rFonts w:ascii="Futura Bk BT" w:eastAsia="Times New Roman" w:hAnsi="Futura Bk BT" w:cstheme="minorHAnsi"/>
      <w:noProof/>
      <w:spacing w:val="10"/>
      <w:sz w:val="18"/>
      <w:szCs w:val="20"/>
    </w:rPr>
  </w:style>
  <w:style w:type="paragraph" w:customStyle="1" w:styleId="Subject">
    <w:name w:val="Subject"/>
    <w:basedOn w:val="FuturaIdentifier"/>
    <w:link w:val="SubjectChar"/>
    <w:qFormat/>
    <w:rsid w:val="00EC3A68"/>
    <w:pPr>
      <w:spacing w:before="120"/>
    </w:pPr>
    <w:rPr>
      <w:rFonts w:asciiTheme="minorHAnsi" w:hAnsiTheme="minorHAnsi" w:cstheme="minorHAnsi"/>
      <w:b/>
      <w:bCs/>
      <w:noProof w:val="0"/>
      <w:sz w:val="22"/>
      <w:szCs w:val="24"/>
    </w:rPr>
  </w:style>
  <w:style w:type="character" w:customStyle="1" w:styleId="BusinessLineChar">
    <w:name w:val="Business Line Char"/>
    <w:basedOn w:val="DefaultParagraphFont"/>
    <w:link w:val="BusinessLine"/>
    <w:rsid w:val="00346B17"/>
    <w:rPr>
      <w:rFonts w:ascii="Avenir Next LT Pro" w:eastAsia="Times New Roman" w:hAnsi="Avenir Next LT Pro" w:cs="Times New Roman"/>
      <w:b/>
      <w:spacing w:val="20"/>
    </w:rPr>
  </w:style>
  <w:style w:type="character" w:customStyle="1" w:styleId="StaffNameChar">
    <w:name w:val="Staff Name Char"/>
    <w:basedOn w:val="BusinessLineChar"/>
    <w:link w:val="StaffName"/>
    <w:rsid w:val="00EC3A68"/>
    <w:rPr>
      <w:rFonts w:ascii="Arial Bold" w:eastAsia="Times New Roman" w:hAnsi="Arial Bold" w:cs="Arial"/>
      <w:b/>
      <w:caps/>
      <w:spacing w:val="20"/>
    </w:rPr>
  </w:style>
  <w:style w:type="paragraph" w:customStyle="1" w:styleId="Memo">
    <w:name w:val="Memo"/>
    <w:basedOn w:val="MemoTitle"/>
    <w:link w:val="MemoChar"/>
    <w:qFormat/>
    <w:rsid w:val="0097526F"/>
    <w:rPr>
      <w:rFonts w:asciiTheme="minorHAnsi" w:hAnsiTheme="minorHAnsi" w:cstheme="minorHAnsi"/>
      <w:b w:val="0"/>
      <w:bCs w:val="0"/>
      <w:spacing w:val="40"/>
      <w:szCs w:val="72"/>
    </w:rPr>
  </w:style>
  <w:style w:type="character" w:customStyle="1" w:styleId="SubjectChar">
    <w:name w:val="Subject Char"/>
    <w:basedOn w:val="FuturaIdentifierChar"/>
    <w:link w:val="Subject"/>
    <w:rsid w:val="00EC3A68"/>
    <w:rPr>
      <w:rFonts w:ascii="Futura Md BT" w:eastAsia="Times New Roman" w:hAnsi="Futura Md BT" w:cstheme="minorHAnsi"/>
      <w:b/>
      <w:bCs/>
      <w:noProof/>
      <w:spacing w:val="20"/>
      <w:sz w:val="15"/>
      <w:szCs w:val="24"/>
    </w:rPr>
  </w:style>
  <w:style w:type="character" w:customStyle="1" w:styleId="MemoTitleChar">
    <w:name w:val="Memo Title Char"/>
    <w:basedOn w:val="Heading1Char"/>
    <w:link w:val="MemoTitle"/>
    <w:rsid w:val="00346B17"/>
    <w:rPr>
      <w:rFonts w:ascii="Arial Black" w:eastAsia="Times New Roman" w:hAnsi="Arial Black" w:cs="Times New Roman"/>
      <w:b/>
      <w:bCs/>
      <w:color w:val="364870" w:themeColor="accent1" w:themeShade="BF"/>
      <w:spacing w:val="20"/>
      <w:sz w:val="72"/>
      <w:szCs w:val="20"/>
    </w:rPr>
  </w:style>
  <w:style w:type="character" w:customStyle="1" w:styleId="MemoChar">
    <w:name w:val="Memo Char"/>
    <w:basedOn w:val="MemoTitleChar"/>
    <w:link w:val="Memo"/>
    <w:rsid w:val="0097526F"/>
    <w:rPr>
      <w:rFonts w:ascii="Arial Black" w:eastAsia="Times New Roman" w:hAnsi="Arial Black" w:cstheme="minorHAnsi"/>
      <w:b w:val="0"/>
      <w:bCs w:val="0"/>
      <w:color w:val="364870" w:themeColor="accent1" w:themeShade="BF"/>
      <w:spacing w:val="40"/>
      <w:sz w:val="72"/>
      <w:szCs w:val="72"/>
    </w:rPr>
  </w:style>
  <w:style w:type="character" w:customStyle="1" w:styleId="Heading2Char">
    <w:name w:val="Heading 2 Char"/>
    <w:basedOn w:val="DefaultParagraphFont"/>
    <w:link w:val="Heading2"/>
    <w:uiPriority w:val="9"/>
    <w:rsid w:val="00607D32"/>
    <w:rPr>
      <w:rFonts w:asciiTheme="majorHAnsi" w:eastAsiaTheme="majorEastAsia" w:hAnsiTheme="majorHAnsi" w:cstheme="majorBidi"/>
      <w:color w:val="364870" w:themeColor="accent1" w:themeShade="BF"/>
      <w:sz w:val="26"/>
      <w:szCs w:val="26"/>
    </w:rPr>
  </w:style>
  <w:style w:type="character" w:customStyle="1" w:styleId="Heading3Char">
    <w:name w:val="Heading 3 Char"/>
    <w:basedOn w:val="DefaultParagraphFont"/>
    <w:link w:val="Heading3"/>
    <w:uiPriority w:val="9"/>
    <w:rsid w:val="00CF5E56"/>
    <w:rPr>
      <w:rFonts w:ascii="Arial Bold" w:eastAsia="Times New Roman" w:hAnsi="Arial Bold" w:cs="Times New Roman (Headings CS)"/>
      <w:b/>
      <w:bCs/>
      <w:color w:val="074976"/>
      <w:sz w:val="26"/>
      <w:szCs w:val="26"/>
    </w:rPr>
  </w:style>
  <w:style w:type="character" w:customStyle="1" w:styleId="Heading4Char">
    <w:name w:val="Heading 4 Char"/>
    <w:basedOn w:val="DefaultParagraphFont"/>
    <w:link w:val="Heading4"/>
    <w:uiPriority w:val="9"/>
    <w:rsid w:val="00CF5E56"/>
    <w:rPr>
      <w:rFonts w:ascii="Arial" w:eastAsia="Times New Roman" w:hAnsi="Arial" w:cs="Arial"/>
      <w:b/>
      <w:i/>
      <w:iCs/>
      <w:color w:val="064976"/>
      <w:sz w:val="24"/>
      <w:szCs w:val="26"/>
    </w:rPr>
  </w:style>
  <w:style w:type="table" w:customStyle="1" w:styleId="Style5">
    <w:name w:val="Style5"/>
    <w:basedOn w:val="TableNormal"/>
    <w:uiPriority w:val="99"/>
    <w:rsid w:val="00607D32"/>
    <w:pPr>
      <w:spacing w:after="0"/>
      <w:jc w:val="center"/>
    </w:pPr>
    <w:rPr>
      <w:rFonts w:ascii="Arial" w:eastAsia="Times New Roman" w:hAnsi="Arial" w:cs="Times New Roman"/>
      <w:sz w:val="20"/>
      <w:szCs w:val="20"/>
    </w:rPr>
    <w:tblPr>
      <w:tblBorders>
        <w:top w:val="single" w:sz="4" w:space="0" w:color="9AC0BD" w:themeColor="accent5" w:themeTint="99"/>
        <w:left w:val="single" w:sz="4" w:space="0" w:color="9AC0BD" w:themeColor="accent5" w:themeTint="99"/>
        <w:bottom w:val="single" w:sz="4" w:space="0" w:color="9AC0BD" w:themeColor="accent5" w:themeTint="99"/>
        <w:right w:val="single" w:sz="4" w:space="0" w:color="9AC0BD" w:themeColor="accent5" w:themeTint="99"/>
        <w:insideH w:val="single" w:sz="4" w:space="0" w:color="9AC0BD" w:themeColor="accent5" w:themeTint="99"/>
        <w:insideV w:val="single" w:sz="4" w:space="0" w:color="9AC0BD" w:themeColor="accent5" w:themeTint="99"/>
      </w:tblBorders>
    </w:tblPr>
    <w:tcPr>
      <w:shd w:val="clear" w:color="auto" w:fill="FFFFFF" w:themeFill="background1"/>
    </w:tcPr>
    <w:tblStylePr w:type="firstRow">
      <w:pPr>
        <w:jc w:val="center"/>
      </w:pPr>
      <w:rPr>
        <w:rFonts w:ascii="Arial" w:hAnsi="Arial"/>
        <w:color w:val="FFFFFF" w:themeColor="background1"/>
        <w:sz w:val="20"/>
      </w:rPr>
      <w:tblPr/>
      <w:tcPr>
        <w:shd w:val="clear" w:color="auto" w:fill="41788E" w:themeFill="accent2"/>
      </w:tcPr>
    </w:tblStylePr>
  </w:style>
  <w:style w:type="paragraph" w:customStyle="1" w:styleId="TableBody">
    <w:name w:val="Table Body"/>
    <w:basedOn w:val="Normal"/>
    <w:qFormat/>
    <w:rsid w:val="00607D32"/>
    <w:pPr>
      <w:suppressAutoHyphens/>
    </w:pPr>
    <w:rPr>
      <w:rFonts w:eastAsiaTheme="minorHAnsi" w:cs="Times New Roman (Body CS)"/>
      <w:sz w:val="21"/>
      <w:szCs w:val="21"/>
    </w:rPr>
  </w:style>
  <w:style w:type="paragraph" w:customStyle="1" w:styleId="TableofTablesFigures">
    <w:name w:val="Table of Tables_Figures"/>
    <w:basedOn w:val="TableofFigures"/>
    <w:link w:val="TableofTablesFiguresChar"/>
    <w:qFormat/>
    <w:rsid w:val="00607D32"/>
    <w:pPr>
      <w:tabs>
        <w:tab w:val="right" w:leader="dot" w:pos="9440"/>
      </w:tabs>
    </w:pPr>
    <w:rPr>
      <w:noProof/>
    </w:rPr>
  </w:style>
  <w:style w:type="paragraph" w:styleId="TOC1">
    <w:name w:val="toc 1"/>
    <w:basedOn w:val="Normal"/>
    <w:next w:val="Normal"/>
    <w:uiPriority w:val="39"/>
    <w:rsid w:val="00607D32"/>
    <w:pPr>
      <w:tabs>
        <w:tab w:val="left" w:pos="440"/>
        <w:tab w:val="right" w:leader="dot" w:pos="9440"/>
      </w:tabs>
      <w:spacing w:before="120"/>
    </w:pPr>
    <w:rPr>
      <w:bCs/>
      <w:caps/>
      <w:color w:val="074976" w:themeColor="text2"/>
      <w:szCs w:val="24"/>
    </w:rPr>
  </w:style>
  <w:style w:type="paragraph" w:styleId="TOC2">
    <w:name w:val="toc 2"/>
    <w:basedOn w:val="Normal"/>
    <w:next w:val="Normal"/>
    <w:uiPriority w:val="39"/>
    <w:rsid w:val="00607D32"/>
    <w:pPr>
      <w:tabs>
        <w:tab w:val="left" w:pos="880"/>
        <w:tab w:val="right" w:leader="dot" w:pos="9440"/>
      </w:tabs>
      <w:ind w:left="220"/>
    </w:pPr>
    <w:rPr>
      <w:szCs w:val="24"/>
    </w:rPr>
  </w:style>
  <w:style w:type="paragraph" w:styleId="TOC3">
    <w:name w:val="toc 3"/>
    <w:basedOn w:val="Normal"/>
    <w:next w:val="Normal"/>
    <w:autoRedefine/>
    <w:uiPriority w:val="39"/>
    <w:rsid w:val="00607D32"/>
    <w:pPr>
      <w:tabs>
        <w:tab w:val="left" w:pos="1320"/>
        <w:tab w:val="right" w:leader="dot" w:pos="9440"/>
      </w:tabs>
      <w:ind w:left="440"/>
    </w:pPr>
    <w:rPr>
      <w:iCs/>
      <w:noProof/>
      <w:szCs w:val="24"/>
    </w:rPr>
  </w:style>
  <w:style w:type="paragraph" w:styleId="TableofFigures">
    <w:name w:val="table of figures"/>
    <w:basedOn w:val="Normal"/>
    <w:next w:val="Normal"/>
    <w:link w:val="TableofFiguresChar"/>
    <w:uiPriority w:val="99"/>
    <w:qFormat/>
    <w:rsid w:val="00607D32"/>
    <w:pPr>
      <w:ind w:left="480" w:hanging="480"/>
    </w:pPr>
    <w:rPr>
      <w:sz w:val="22"/>
    </w:rPr>
  </w:style>
  <w:style w:type="paragraph" w:customStyle="1" w:styleId="PageLeftBlank">
    <w:name w:val="Page Left Blank"/>
    <w:basedOn w:val="Normal"/>
    <w:link w:val="PageLeftBlankChar"/>
    <w:qFormat/>
    <w:rsid w:val="00607D32"/>
    <w:pPr>
      <w:jc w:val="center"/>
    </w:pPr>
    <w:rPr>
      <w:i/>
      <w:iCs/>
    </w:rPr>
  </w:style>
  <w:style w:type="character" w:customStyle="1" w:styleId="PageLeftBlankChar">
    <w:name w:val="Page Left Blank Char"/>
    <w:basedOn w:val="DefaultParagraphFont"/>
    <w:link w:val="PageLeftBlank"/>
    <w:rsid w:val="00607D32"/>
    <w:rPr>
      <w:rFonts w:ascii="Calibri" w:eastAsia="Times New Roman" w:hAnsi="Calibri" w:cs="Times New Roman"/>
      <w:i/>
      <w:iCs/>
      <w:sz w:val="24"/>
      <w:szCs w:val="20"/>
    </w:rPr>
  </w:style>
  <w:style w:type="paragraph" w:styleId="TOCHeading">
    <w:name w:val="TOC Heading"/>
    <w:basedOn w:val="Normal"/>
    <w:next w:val="TOC1"/>
    <w:uiPriority w:val="39"/>
    <w:qFormat/>
    <w:rsid w:val="00607D32"/>
    <w:pPr>
      <w:keepNext/>
      <w:keepLines/>
      <w:tabs>
        <w:tab w:val="left" w:pos="720"/>
      </w:tabs>
      <w:jc w:val="center"/>
    </w:pPr>
    <w:rPr>
      <w:rFonts w:ascii="Arial" w:eastAsia="MS Gothic" w:hAnsi="Arial" w:cs="Arial"/>
      <w:b/>
      <w:caps/>
      <w:color w:val="053658"/>
      <w:spacing w:val="40"/>
      <w:sz w:val="26"/>
      <w:szCs w:val="32"/>
    </w:rPr>
  </w:style>
  <w:style w:type="character" w:customStyle="1" w:styleId="TableofFiguresChar">
    <w:name w:val="Table of Figures Char"/>
    <w:basedOn w:val="DefaultParagraphFont"/>
    <w:link w:val="TableofFigures"/>
    <w:uiPriority w:val="99"/>
    <w:rsid w:val="00607D32"/>
    <w:rPr>
      <w:rFonts w:ascii="Calibri" w:eastAsia="Times New Roman" w:hAnsi="Calibri" w:cs="Times New Roman"/>
      <w:szCs w:val="20"/>
    </w:rPr>
  </w:style>
  <w:style w:type="character" w:customStyle="1" w:styleId="TableofTablesFiguresChar">
    <w:name w:val="Table of Tables_Figures Char"/>
    <w:basedOn w:val="TableofFiguresChar"/>
    <w:link w:val="TableofTablesFigures"/>
    <w:rsid w:val="00607D32"/>
    <w:rPr>
      <w:rFonts w:ascii="Calibri" w:eastAsia="Times New Roman" w:hAnsi="Calibri" w:cs="Times New Roman"/>
      <w:noProof/>
      <w:szCs w:val="20"/>
    </w:rPr>
  </w:style>
  <w:style w:type="paragraph" w:customStyle="1" w:styleId="FooterTitle">
    <w:name w:val="Footer Title"/>
    <w:basedOn w:val="Normal"/>
    <w:link w:val="FooterTitleChar"/>
    <w:qFormat/>
    <w:rsid w:val="00607D32"/>
    <w:pPr>
      <w:tabs>
        <w:tab w:val="right" w:pos="10800"/>
      </w:tabs>
      <w:suppressAutoHyphens/>
      <w:autoSpaceDE w:val="0"/>
      <w:autoSpaceDN w:val="0"/>
      <w:adjustRightInd w:val="0"/>
      <w:spacing w:before="120" w:line="200" w:lineRule="atLeast"/>
      <w:textAlignment w:val="center"/>
    </w:pPr>
    <w:rPr>
      <w:rFonts w:eastAsia="Calibri" w:cs="Calibri"/>
      <w:b/>
      <w:iCs/>
      <w:caps/>
      <w:noProof/>
      <w:color w:val="3B3838"/>
      <w:sz w:val="16"/>
      <w:szCs w:val="16"/>
    </w:rPr>
  </w:style>
  <w:style w:type="paragraph" w:customStyle="1" w:styleId="ListParagraph1">
    <w:name w:val="List Paragraph 1"/>
    <w:basedOn w:val="Normal"/>
    <w:qFormat/>
    <w:rsid w:val="00607D32"/>
    <w:pPr>
      <w:spacing w:before="60" w:after="60"/>
      <w:ind w:left="720" w:hanging="360"/>
    </w:pPr>
    <w:rPr>
      <w:rFonts w:eastAsia="Calibri" w:cs="Arial"/>
      <w:color w:val="000000"/>
    </w:rPr>
  </w:style>
  <w:style w:type="paragraph" w:customStyle="1" w:styleId="ReportCoverdate">
    <w:name w:val="Report Cover date"/>
    <w:qFormat/>
    <w:rsid w:val="00607D32"/>
    <w:pPr>
      <w:spacing w:before="960" w:after="240"/>
    </w:pPr>
    <w:rPr>
      <w:rFonts w:cstheme="minorHAnsi"/>
      <w:b/>
      <w:bCs/>
      <w:caps/>
      <w:color w:val="41788E" w:themeColor="accent2"/>
      <w:spacing w:val="40"/>
      <w:sz w:val="20"/>
      <w:szCs w:val="20"/>
    </w:rPr>
  </w:style>
  <w:style w:type="paragraph" w:customStyle="1" w:styleId="ReportCoverclient">
    <w:name w:val="Report Cover client"/>
    <w:qFormat/>
    <w:rsid w:val="00607D32"/>
    <w:pPr>
      <w:spacing w:after="400"/>
    </w:pPr>
    <w:rPr>
      <w:rFonts w:cstheme="minorHAnsi"/>
      <w:b/>
      <w:bCs/>
      <w:caps/>
      <w:color w:val="41788E" w:themeColor="accent2"/>
      <w:spacing w:val="40"/>
    </w:rPr>
  </w:style>
  <w:style w:type="paragraph" w:customStyle="1" w:styleId="ReportCovertitle">
    <w:name w:val="Report Cover title"/>
    <w:qFormat/>
    <w:rsid w:val="00607D32"/>
    <w:pPr>
      <w:spacing w:after="200" w:line="480" w:lineRule="exact"/>
    </w:pPr>
    <w:rPr>
      <w:rFonts w:ascii="Arial" w:hAnsi="Arial" w:cs="Arial"/>
      <w:b/>
      <w:bCs/>
      <w:noProof/>
      <w:color w:val="074976" w:themeColor="text2"/>
      <w:spacing w:val="-10"/>
      <w:sz w:val="33"/>
      <w:szCs w:val="33"/>
      <w:lang w:eastAsia="ja-JP"/>
    </w:rPr>
  </w:style>
  <w:style w:type="paragraph" w:customStyle="1" w:styleId="ReportCoversubtitle">
    <w:name w:val="Report Cover subtitle"/>
    <w:qFormat/>
    <w:rsid w:val="00607D32"/>
    <w:pPr>
      <w:spacing w:after="300" w:line="400" w:lineRule="exact"/>
    </w:pPr>
    <w:rPr>
      <w:rFonts w:ascii="Arial" w:hAnsi="Arial" w:cs="Arial"/>
      <w:i/>
      <w:iCs/>
      <w:color w:val="074976" w:themeColor="text2"/>
      <w:spacing w:val="-5"/>
      <w:sz w:val="27"/>
      <w:szCs w:val="27"/>
      <w:lang w:eastAsia="ja-JP"/>
    </w:rPr>
  </w:style>
  <w:style w:type="paragraph" w:customStyle="1" w:styleId="CalloutBoxSubheading">
    <w:name w:val="Callout Box Subheading"/>
    <w:basedOn w:val="Normal"/>
    <w:qFormat/>
    <w:rsid w:val="00607D32"/>
    <w:pPr>
      <w:tabs>
        <w:tab w:val="left" w:pos="180"/>
        <w:tab w:val="right" w:pos="3600"/>
      </w:tabs>
      <w:suppressAutoHyphens/>
      <w:autoSpaceDE w:val="0"/>
      <w:autoSpaceDN w:val="0"/>
      <w:adjustRightInd w:val="0"/>
      <w:spacing w:before="320" w:after="140" w:line="320" w:lineRule="atLeast"/>
      <w:textAlignment w:val="center"/>
    </w:pPr>
    <w:rPr>
      <w:rFonts w:cs="Calibri"/>
      <w:caps/>
      <w:color w:val="41788E" w:themeColor="accent2"/>
    </w:rPr>
  </w:style>
  <w:style w:type="paragraph" w:customStyle="1" w:styleId="CalloutBoxBody">
    <w:name w:val="Callout Box Body"/>
    <w:basedOn w:val="Normal"/>
    <w:qFormat/>
    <w:rsid w:val="00607D32"/>
    <w:pPr>
      <w:tabs>
        <w:tab w:val="left" w:pos="180"/>
        <w:tab w:val="right" w:pos="3600"/>
      </w:tabs>
      <w:suppressAutoHyphens/>
      <w:autoSpaceDE w:val="0"/>
      <w:autoSpaceDN w:val="0"/>
      <w:adjustRightInd w:val="0"/>
      <w:spacing w:line="320" w:lineRule="atLeast"/>
      <w:textAlignment w:val="center"/>
    </w:pPr>
    <w:rPr>
      <w:rFonts w:cs="Calibri"/>
      <w:color w:val="41788E" w:themeColor="accent2"/>
    </w:rPr>
  </w:style>
  <w:style w:type="paragraph" w:customStyle="1" w:styleId="CalloutBoxStyle1Header">
    <w:name w:val="Callout Box Style 1 Header"/>
    <w:basedOn w:val="Normal"/>
    <w:qFormat/>
    <w:rsid w:val="00607D32"/>
    <w:pPr>
      <w:pBdr>
        <w:top w:val="single" w:sz="8" w:space="16" w:color="074976" w:themeColor="text2"/>
      </w:pBdr>
      <w:tabs>
        <w:tab w:val="left" w:pos="180"/>
        <w:tab w:val="right" w:pos="3600"/>
      </w:tabs>
      <w:suppressAutoHyphens/>
      <w:autoSpaceDE w:val="0"/>
      <w:autoSpaceDN w:val="0"/>
      <w:adjustRightInd w:val="0"/>
      <w:spacing w:after="300" w:line="300" w:lineRule="atLeast"/>
      <w:textAlignment w:val="center"/>
    </w:pPr>
    <w:rPr>
      <w:rFonts w:cs="Calibri"/>
      <w:b/>
      <w:bCs/>
      <w:color w:val="41788E" w:themeColor="accent2"/>
      <w:sz w:val="32"/>
      <w:szCs w:val="32"/>
    </w:rPr>
  </w:style>
  <w:style w:type="paragraph" w:customStyle="1" w:styleId="ReportCoverPreparedBy">
    <w:name w:val="Report Cover Prepared By"/>
    <w:basedOn w:val="Normal"/>
    <w:qFormat/>
    <w:rsid w:val="00607D32"/>
    <w:pPr>
      <w:jc w:val="both"/>
    </w:pPr>
    <w:rPr>
      <w:rFonts w:ascii="Arial" w:hAnsi="Arial" w:cs="Arial"/>
      <w:b/>
      <w:caps/>
      <w:color w:val="808080" w:themeColor="background1" w:themeShade="80"/>
      <w:spacing w:val="50"/>
      <w:sz w:val="14"/>
      <w:szCs w:val="14"/>
    </w:rPr>
  </w:style>
  <w:style w:type="character" w:customStyle="1" w:styleId="FooterTitleChar">
    <w:name w:val="Footer Title Char"/>
    <w:basedOn w:val="DefaultParagraphFont"/>
    <w:link w:val="FooterTitle"/>
    <w:rsid w:val="00607D32"/>
    <w:rPr>
      <w:rFonts w:ascii="Calibri" w:eastAsia="Calibri" w:hAnsi="Calibri" w:cs="Calibri"/>
      <w:b/>
      <w:iCs/>
      <w:caps/>
      <w:noProof/>
      <w:color w:val="3B3838"/>
      <w:sz w:val="16"/>
      <w:szCs w:val="16"/>
    </w:rPr>
  </w:style>
  <w:style w:type="paragraph" w:customStyle="1" w:styleId="NumberedList">
    <w:name w:val="Numbered List"/>
    <w:basedOn w:val="Normal"/>
    <w:qFormat/>
    <w:rsid w:val="00607D32"/>
    <w:pPr>
      <w:numPr>
        <w:numId w:val="2"/>
      </w:numPr>
      <w:suppressAutoHyphens/>
      <w:autoSpaceDE w:val="0"/>
      <w:autoSpaceDN w:val="0"/>
      <w:adjustRightInd w:val="0"/>
      <w:spacing w:after="60" w:line="300" w:lineRule="atLeast"/>
      <w:textAlignment w:val="center"/>
    </w:pPr>
    <w:rPr>
      <w:rFonts w:cs="Calibri"/>
      <w:color w:val="000000"/>
    </w:rPr>
  </w:style>
  <w:style w:type="paragraph" w:customStyle="1" w:styleId="FooterClientName">
    <w:name w:val="Footer Client Name"/>
    <w:basedOn w:val="Normal"/>
    <w:link w:val="FooterClientNameChar"/>
    <w:qFormat/>
    <w:rsid w:val="00607D32"/>
    <w:pPr>
      <w:tabs>
        <w:tab w:val="right" w:pos="10800"/>
      </w:tabs>
      <w:suppressAutoHyphens/>
      <w:autoSpaceDE w:val="0"/>
      <w:autoSpaceDN w:val="0"/>
      <w:adjustRightInd w:val="0"/>
      <w:spacing w:before="60" w:line="200" w:lineRule="atLeast"/>
      <w:textAlignment w:val="center"/>
    </w:pPr>
    <w:rPr>
      <w:iCs/>
      <w:sz w:val="18"/>
      <w:szCs w:val="18"/>
    </w:rPr>
  </w:style>
  <w:style w:type="character" w:customStyle="1" w:styleId="FooterClientNameChar">
    <w:name w:val="Footer Client Name Char"/>
    <w:basedOn w:val="DefaultParagraphFont"/>
    <w:link w:val="FooterClientName"/>
    <w:rsid w:val="00607D32"/>
    <w:rPr>
      <w:rFonts w:ascii="Calibri" w:eastAsia="Times New Roman" w:hAnsi="Calibri" w:cs="Times New Roman"/>
      <w:iCs/>
      <w:sz w:val="18"/>
      <w:szCs w:val="18"/>
    </w:rPr>
  </w:style>
  <w:style w:type="paragraph" w:customStyle="1" w:styleId="BodyText1">
    <w:name w:val="Body Text 1"/>
    <w:basedOn w:val="Normal"/>
    <w:qFormat/>
    <w:rsid w:val="00607D32"/>
  </w:style>
  <w:style w:type="character" w:styleId="FootnoteReference">
    <w:name w:val="footnote reference"/>
    <w:basedOn w:val="DefaultParagraphFont"/>
    <w:semiHidden/>
    <w:rsid w:val="00607D32"/>
    <w:rPr>
      <w:vertAlign w:val="superscript"/>
    </w:rPr>
  </w:style>
  <w:style w:type="paragraph" w:customStyle="1" w:styleId="TableCaption">
    <w:name w:val="Table Caption"/>
    <w:basedOn w:val="Normal"/>
    <w:qFormat/>
    <w:rsid w:val="00607D32"/>
    <w:pPr>
      <w:keepNext/>
      <w:suppressAutoHyphens/>
      <w:spacing w:before="240" w:after="80"/>
    </w:pPr>
    <w:rPr>
      <w:rFonts w:ascii="Arial" w:hAnsi="Arial"/>
      <w:b/>
      <w:sz w:val="20"/>
    </w:rPr>
  </w:style>
  <w:style w:type="paragraph" w:customStyle="1" w:styleId="Footnotes">
    <w:name w:val="Footnotes"/>
    <w:basedOn w:val="Normal"/>
    <w:rsid w:val="00607D32"/>
    <w:pPr>
      <w:spacing w:before="20" w:after="20"/>
      <w:ind w:left="360" w:hanging="360"/>
    </w:pPr>
    <w:rPr>
      <w:rFonts w:eastAsia="Times"/>
      <w:sz w:val="16"/>
    </w:rPr>
  </w:style>
  <w:style w:type="paragraph" w:customStyle="1" w:styleId="FigureTitle">
    <w:name w:val="Figure Title"/>
    <w:basedOn w:val="Normal"/>
    <w:next w:val="Normal"/>
    <w:rsid w:val="00607D32"/>
    <w:pPr>
      <w:suppressAutoHyphens/>
      <w:spacing w:before="80" w:after="360"/>
      <w:jc w:val="center"/>
    </w:pPr>
    <w:rPr>
      <w:rFonts w:ascii="Arial" w:hAnsi="Arial"/>
      <w:b/>
      <w:sz w:val="20"/>
    </w:rPr>
  </w:style>
  <w:style w:type="paragraph" w:customStyle="1" w:styleId="AppendixTitle">
    <w:name w:val="Appendix Title"/>
    <w:uiPriority w:val="6"/>
    <w:qFormat/>
    <w:rsid w:val="00607D32"/>
    <w:pPr>
      <w:spacing w:line="360" w:lineRule="exact"/>
    </w:pPr>
    <w:rPr>
      <w:rFonts w:ascii="Arial" w:hAnsi="Arial" w:cs="Arial"/>
      <w:b/>
      <w:bCs/>
      <w:noProof/>
      <w:color w:val="03243B" w:themeColor="text2" w:themeShade="80"/>
      <w:sz w:val="34"/>
      <w:szCs w:val="34"/>
      <w:lang w:eastAsia="ja-JP"/>
    </w:rPr>
  </w:style>
  <w:style w:type="paragraph" w:customStyle="1" w:styleId="AppendixABCetc">
    <w:name w:val="Appendix A B C etc"/>
    <w:link w:val="AppendixABCetcChar"/>
    <w:autoRedefine/>
    <w:uiPriority w:val="6"/>
    <w:qFormat/>
    <w:rsid w:val="00607D32"/>
    <w:pPr>
      <w:spacing w:line="400" w:lineRule="exact"/>
    </w:pPr>
    <w:rPr>
      <w:rFonts w:ascii="Arial" w:hAnsi="Arial" w:cs="Arial"/>
      <w:b/>
      <w:bCs/>
      <w:noProof/>
      <w:color w:val="41788E" w:themeColor="accent2"/>
      <w:sz w:val="30"/>
      <w:szCs w:val="30"/>
      <w:lang w:eastAsia="ja-JP"/>
    </w:rPr>
  </w:style>
  <w:style w:type="character" w:customStyle="1" w:styleId="AppendixABCetcChar">
    <w:name w:val="Appendix A B C etc Char"/>
    <w:basedOn w:val="DefaultParagraphFont"/>
    <w:link w:val="AppendixABCetc"/>
    <w:uiPriority w:val="6"/>
    <w:rsid w:val="00607D32"/>
    <w:rPr>
      <w:rFonts w:ascii="Arial" w:hAnsi="Arial" w:cs="Arial"/>
      <w:b/>
      <w:bCs/>
      <w:noProof/>
      <w:color w:val="41788E" w:themeColor="accent2"/>
      <w:sz w:val="30"/>
      <w:szCs w:val="30"/>
      <w:lang w:eastAsia="ja-JP"/>
    </w:rPr>
  </w:style>
  <w:style w:type="paragraph" w:customStyle="1" w:styleId="TableBullet">
    <w:name w:val="Table Bullet"/>
    <w:basedOn w:val="Normal"/>
    <w:uiPriority w:val="99"/>
    <w:qFormat/>
    <w:rsid w:val="00607D32"/>
    <w:pPr>
      <w:numPr>
        <w:numId w:val="3"/>
      </w:numPr>
      <w:suppressAutoHyphens/>
      <w:autoSpaceDE w:val="0"/>
      <w:autoSpaceDN w:val="0"/>
      <w:adjustRightInd w:val="0"/>
      <w:spacing w:after="40" w:line="320" w:lineRule="atLeast"/>
      <w:textAlignment w:val="center"/>
    </w:pPr>
    <w:rPr>
      <w:rFonts w:eastAsiaTheme="minorHAnsi" w:cs="Calibri"/>
      <w:color w:val="000000"/>
      <w:sz w:val="21"/>
      <w:szCs w:val="21"/>
    </w:rPr>
  </w:style>
  <w:style w:type="numbering" w:customStyle="1" w:styleId="LWAnumberedheadings">
    <w:name w:val="LWA numbered headings"/>
    <w:uiPriority w:val="99"/>
    <w:rsid w:val="00607D32"/>
  </w:style>
  <w:style w:type="paragraph" w:customStyle="1" w:styleId="TableHeaderRow">
    <w:name w:val="Table Header Row"/>
    <w:basedOn w:val="Normal"/>
    <w:uiPriority w:val="99"/>
    <w:qFormat/>
    <w:rsid w:val="00CF5E56"/>
    <w:pPr>
      <w:suppressAutoHyphens/>
      <w:autoSpaceDE w:val="0"/>
      <w:autoSpaceDN w:val="0"/>
      <w:adjustRightInd w:val="0"/>
      <w:spacing w:before="40" w:after="40"/>
      <w:jc w:val="center"/>
      <w:textAlignment w:val="center"/>
    </w:pPr>
    <w:rPr>
      <w:rFonts w:cs="Calibri"/>
      <w:b/>
      <w:color w:val="FFFFFF"/>
    </w:rPr>
  </w:style>
  <w:style w:type="table" w:customStyle="1" w:styleId="LWA1">
    <w:name w:val="LWA 1"/>
    <w:basedOn w:val="TableNormal"/>
    <w:uiPriority w:val="99"/>
    <w:rsid w:val="00607D32"/>
    <w:pPr>
      <w:suppressAutoHyphens/>
      <w:spacing w:after="0"/>
    </w:pPr>
    <w:rPr>
      <w:rFonts w:cs="Times New Roman (Body CS)"/>
      <w:sz w:val="21"/>
    </w:rPr>
    <w:tblPr>
      <w:tblBorders>
        <w:top w:val="single" w:sz="4" w:space="0" w:color="82B2C6" w:themeColor="accent2" w:themeTint="99"/>
        <w:left w:val="single" w:sz="4" w:space="0" w:color="82B2C6" w:themeColor="accent2" w:themeTint="99"/>
        <w:bottom w:val="single" w:sz="4" w:space="0" w:color="82B2C6" w:themeColor="accent2" w:themeTint="99"/>
        <w:right w:val="single" w:sz="4" w:space="0" w:color="82B2C6" w:themeColor="accent2" w:themeTint="99"/>
        <w:insideH w:val="single" w:sz="4" w:space="0" w:color="82B2C6" w:themeColor="accent2" w:themeTint="99"/>
        <w:insideV w:val="single" w:sz="4" w:space="0" w:color="82B2C6" w:themeColor="accent2" w:themeTint="99"/>
      </w:tblBorders>
      <w:tblCellMar>
        <w:top w:w="58" w:type="dxa"/>
        <w:bottom w:w="58" w:type="dxa"/>
      </w:tblCellMar>
    </w:tblPr>
    <w:tcPr>
      <w:shd w:val="clear" w:color="auto" w:fill="FFFFFF" w:themeFill="background1"/>
      <w:vAlign w:val="center"/>
    </w:tcPr>
    <w:tblStylePr w:type="firstRow">
      <w:pPr>
        <w:wordWrap/>
        <w:spacing w:line="240" w:lineRule="auto"/>
      </w:pPr>
      <w:rPr>
        <w:rFonts w:ascii="Calibri" w:hAnsi="Calibri"/>
        <w:b/>
        <w:i w:val="0"/>
        <w:color w:val="FFFFFF" w:themeColor="background1"/>
        <w:sz w:val="22"/>
      </w:rPr>
      <w:tblPr/>
      <w:tcPr>
        <w:shd w:val="clear" w:color="auto" w:fill="41788E" w:themeFill="accent2"/>
      </w:tcPr>
    </w:tblStylePr>
    <w:tblStylePr w:type="firstCol">
      <w:rPr>
        <w:rFonts w:ascii="Calibri" w:hAnsi="Calibri"/>
        <w:b/>
      </w:rPr>
      <w:tblPr/>
      <w:tcPr>
        <w:shd w:val="clear" w:color="auto" w:fill="E5EEEB" w:themeFill="accent6" w:themeFillTint="33"/>
      </w:tcPr>
    </w:tblStylePr>
    <w:tblStylePr w:type="nwCell">
      <w:rPr>
        <w:b/>
      </w:rPr>
    </w:tblStylePr>
  </w:style>
  <w:style w:type="paragraph" w:customStyle="1" w:styleId="AppendixLevel1">
    <w:name w:val="Appendix Level 1"/>
    <w:basedOn w:val="Normal"/>
    <w:link w:val="AppendixLevel1Char"/>
    <w:uiPriority w:val="6"/>
    <w:qFormat/>
    <w:rsid w:val="00607D32"/>
    <w:pPr>
      <w:keepNext/>
      <w:tabs>
        <w:tab w:val="num" w:pos="720"/>
      </w:tabs>
      <w:suppressAutoHyphens/>
      <w:autoSpaceDE w:val="0"/>
      <w:autoSpaceDN w:val="0"/>
      <w:adjustRightInd w:val="0"/>
      <w:spacing w:after="144" w:line="380" w:lineRule="atLeast"/>
      <w:ind w:left="576" w:hanging="576"/>
      <w:textAlignment w:val="center"/>
    </w:pPr>
    <w:rPr>
      <w:rFonts w:ascii="Arial" w:hAnsi="Arial" w:cs="Arial"/>
      <w:b/>
      <w:bCs/>
      <w:caps/>
      <w:color w:val="074976" w:themeColor="text2"/>
      <w:sz w:val="34"/>
      <w:szCs w:val="34"/>
    </w:rPr>
  </w:style>
  <w:style w:type="paragraph" w:customStyle="1" w:styleId="AppendixLevel2">
    <w:name w:val="Appendix Level 2"/>
    <w:basedOn w:val="Normal"/>
    <w:link w:val="AppendixLevel2Char"/>
    <w:uiPriority w:val="6"/>
    <w:qFormat/>
    <w:rsid w:val="00607D32"/>
    <w:pPr>
      <w:keepNext/>
      <w:numPr>
        <w:ilvl w:val="1"/>
        <w:numId w:val="6"/>
      </w:numPr>
      <w:suppressAutoHyphens/>
      <w:autoSpaceDE w:val="0"/>
      <w:autoSpaceDN w:val="0"/>
      <w:adjustRightInd w:val="0"/>
      <w:spacing w:after="144" w:line="380" w:lineRule="atLeast"/>
      <w:textAlignment w:val="center"/>
    </w:pPr>
    <w:rPr>
      <w:rFonts w:ascii="Arial" w:hAnsi="Arial" w:cs="Arial"/>
      <w:caps/>
      <w:color w:val="064976"/>
      <w:sz w:val="28"/>
      <w:szCs w:val="28"/>
    </w:rPr>
  </w:style>
  <w:style w:type="character" w:customStyle="1" w:styleId="AppendixLevel1Char">
    <w:name w:val="Appendix Level 1 Char"/>
    <w:basedOn w:val="DefaultParagraphFont"/>
    <w:link w:val="AppendixLevel1"/>
    <w:uiPriority w:val="6"/>
    <w:rsid w:val="00607D32"/>
    <w:rPr>
      <w:rFonts w:ascii="Arial" w:eastAsia="Times New Roman" w:hAnsi="Arial" w:cs="Arial"/>
      <w:b/>
      <w:bCs/>
      <w:caps/>
      <w:color w:val="074976" w:themeColor="text2"/>
      <w:sz w:val="34"/>
      <w:szCs w:val="34"/>
    </w:rPr>
  </w:style>
  <w:style w:type="paragraph" w:customStyle="1" w:styleId="AppendixLevel3">
    <w:name w:val="Appendix Level 3"/>
    <w:basedOn w:val="Normal"/>
    <w:link w:val="AppendixLevel3Char"/>
    <w:uiPriority w:val="6"/>
    <w:qFormat/>
    <w:rsid w:val="00607D32"/>
    <w:pPr>
      <w:keepNext/>
      <w:suppressAutoHyphens/>
      <w:autoSpaceDE w:val="0"/>
      <w:autoSpaceDN w:val="0"/>
      <w:adjustRightInd w:val="0"/>
      <w:spacing w:after="144" w:line="340" w:lineRule="atLeast"/>
      <w:ind w:left="893" w:hanging="893"/>
      <w:textAlignment w:val="center"/>
    </w:pPr>
    <w:rPr>
      <w:rFonts w:ascii="Arial" w:hAnsi="Arial" w:cs="Arial"/>
      <w:b/>
      <w:bCs/>
      <w:color w:val="064976"/>
      <w:sz w:val="26"/>
      <w:szCs w:val="26"/>
    </w:rPr>
  </w:style>
  <w:style w:type="character" w:customStyle="1" w:styleId="AppendixLevel2Char">
    <w:name w:val="Appendix Level 2 Char"/>
    <w:basedOn w:val="DefaultParagraphFont"/>
    <w:link w:val="AppendixLevel2"/>
    <w:uiPriority w:val="6"/>
    <w:rsid w:val="00607D32"/>
    <w:rPr>
      <w:rFonts w:ascii="Arial" w:eastAsia="Times New Roman" w:hAnsi="Arial" w:cs="Arial"/>
      <w:caps/>
      <w:color w:val="064976"/>
      <w:sz w:val="28"/>
      <w:szCs w:val="28"/>
    </w:rPr>
  </w:style>
  <w:style w:type="character" w:customStyle="1" w:styleId="AppendixLevel3Char">
    <w:name w:val="Appendix Level 3 Char"/>
    <w:basedOn w:val="DefaultParagraphFont"/>
    <w:link w:val="AppendixLevel3"/>
    <w:uiPriority w:val="6"/>
    <w:rsid w:val="00607D32"/>
    <w:rPr>
      <w:rFonts w:ascii="Arial" w:eastAsia="Times New Roman" w:hAnsi="Arial" w:cs="Arial"/>
      <w:b/>
      <w:bCs/>
      <w:color w:val="064976"/>
      <w:sz w:val="26"/>
      <w:szCs w:val="26"/>
    </w:rPr>
  </w:style>
  <w:style w:type="paragraph" w:customStyle="1" w:styleId="AppendixGeneral">
    <w:name w:val="Appendix General"/>
    <w:basedOn w:val="Normal"/>
    <w:link w:val="AppendixGeneralChar"/>
    <w:uiPriority w:val="6"/>
    <w:qFormat/>
    <w:rsid w:val="00607D32"/>
    <w:pPr>
      <w:spacing w:after="160" w:line="259" w:lineRule="auto"/>
    </w:pPr>
    <w:rPr>
      <w:rFonts w:ascii="Arial" w:eastAsiaTheme="minorHAnsi" w:hAnsi="Arial" w:cs="Arial"/>
      <w:b/>
      <w:bCs/>
      <w:caps/>
      <w:noProof/>
      <w:color w:val="A6A6A6" w:themeColor="background1" w:themeShade="A6"/>
      <w:sz w:val="34"/>
      <w:szCs w:val="34"/>
      <w:lang w:eastAsia="ja-JP"/>
    </w:rPr>
  </w:style>
  <w:style w:type="character" w:customStyle="1" w:styleId="AppendixGeneralChar">
    <w:name w:val="Appendix General Char"/>
    <w:basedOn w:val="DefaultParagraphFont"/>
    <w:link w:val="AppendixGeneral"/>
    <w:uiPriority w:val="6"/>
    <w:rsid w:val="00607D32"/>
    <w:rPr>
      <w:rFonts w:ascii="Arial" w:hAnsi="Arial" w:cs="Arial"/>
      <w:b/>
      <w:bCs/>
      <w:caps/>
      <w:noProof/>
      <w:color w:val="A6A6A6" w:themeColor="background1" w:themeShade="A6"/>
      <w:sz w:val="34"/>
      <w:szCs w:val="34"/>
      <w:lang w:eastAsia="ja-JP"/>
    </w:rPr>
  </w:style>
  <w:style w:type="paragraph" w:customStyle="1" w:styleId="TableandFigureFootnotes">
    <w:name w:val="Table and Figure Footnotes"/>
    <w:basedOn w:val="Normal"/>
    <w:autoRedefine/>
    <w:uiPriority w:val="99"/>
    <w:qFormat/>
    <w:rsid w:val="00607D32"/>
    <w:pPr>
      <w:suppressAutoHyphens/>
      <w:autoSpaceDE w:val="0"/>
      <w:autoSpaceDN w:val="0"/>
      <w:adjustRightInd w:val="0"/>
      <w:spacing w:line="260" w:lineRule="atLeast"/>
      <w:contextualSpacing/>
      <w:textAlignment w:val="center"/>
    </w:pPr>
    <w:rPr>
      <w:rFonts w:cs="Calibri"/>
      <w:noProof/>
      <w:color w:val="000000"/>
      <w:sz w:val="16"/>
      <w:szCs w:val="14"/>
    </w:rPr>
  </w:style>
  <w:style w:type="paragraph" w:customStyle="1" w:styleId="ExecutiveSummary">
    <w:name w:val="Executive Summary"/>
    <w:basedOn w:val="Heading1"/>
    <w:next w:val="BodyText1"/>
    <w:qFormat/>
    <w:rsid w:val="00607D32"/>
    <w:pPr>
      <w:ind w:left="432" w:hanging="432"/>
    </w:pPr>
    <w:rPr>
      <w:rFonts w:ascii="Arial Bold" w:hAnsi="Arial Bold" w:cs="Arial"/>
      <w:b w:val="0"/>
      <w:bCs w:val="0"/>
      <w:caps/>
      <w:color w:val="03243B" w:themeColor="text2" w:themeShade="80"/>
    </w:rPr>
  </w:style>
  <w:style w:type="table" w:customStyle="1" w:styleId="Style51">
    <w:name w:val="Style51"/>
    <w:basedOn w:val="TableNormal"/>
    <w:uiPriority w:val="99"/>
    <w:rsid w:val="00607D32"/>
    <w:pPr>
      <w:spacing w:after="0"/>
      <w:jc w:val="center"/>
    </w:pPr>
    <w:rPr>
      <w:rFonts w:ascii="Arial" w:eastAsia="Times New Roman" w:hAnsi="Arial" w:cs="Times New Roman"/>
      <w:sz w:val="20"/>
      <w:szCs w:val="20"/>
    </w:rPr>
    <w:tblPr>
      <w:tblBorders>
        <w:top w:val="single" w:sz="4" w:space="0" w:color="9AC0BD"/>
        <w:left w:val="single" w:sz="4" w:space="0" w:color="9AC0BD"/>
        <w:bottom w:val="single" w:sz="4" w:space="0" w:color="9AC0BD"/>
        <w:right w:val="single" w:sz="4" w:space="0" w:color="9AC0BD"/>
        <w:insideH w:val="single" w:sz="4" w:space="0" w:color="9AC0BD"/>
        <w:insideV w:val="single" w:sz="4" w:space="0" w:color="9AC0BD"/>
      </w:tblBorders>
    </w:tblPr>
    <w:tcPr>
      <w:shd w:val="clear" w:color="auto" w:fill="FFFFFF"/>
    </w:tcPr>
    <w:tblStylePr w:type="firstRow">
      <w:pPr>
        <w:jc w:val="center"/>
      </w:pPr>
      <w:rPr>
        <w:rFonts w:ascii="Arial" w:hAnsi="Arial"/>
        <w:color w:val="FFFFFF"/>
        <w:sz w:val="20"/>
      </w:rPr>
      <w:tblPr/>
      <w:tcPr>
        <w:shd w:val="clear" w:color="auto" w:fill="41788E"/>
      </w:tcPr>
    </w:tblStylePr>
  </w:style>
  <w:style w:type="table" w:customStyle="1" w:styleId="LWA11">
    <w:name w:val="LWA 11"/>
    <w:basedOn w:val="TableNormal"/>
    <w:uiPriority w:val="99"/>
    <w:rsid w:val="00607D32"/>
    <w:pPr>
      <w:suppressAutoHyphens/>
      <w:spacing w:after="0"/>
    </w:pPr>
    <w:rPr>
      <w:rFonts w:cs="Times New Roman (Body CS)"/>
      <w:sz w:val="21"/>
    </w:rPr>
    <w:tblPr>
      <w:tblBorders>
        <w:top w:val="single" w:sz="4" w:space="0" w:color="82B2C6"/>
        <w:left w:val="single" w:sz="4" w:space="0" w:color="82B2C6"/>
        <w:bottom w:val="single" w:sz="4" w:space="0" w:color="82B2C6"/>
        <w:right w:val="single" w:sz="4" w:space="0" w:color="82B2C6"/>
        <w:insideH w:val="single" w:sz="4" w:space="0" w:color="82B2C6"/>
        <w:insideV w:val="single" w:sz="4" w:space="0" w:color="82B2C6"/>
      </w:tblBorders>
      <w:tblCellMar>
        <w:top w:w="58" w:type="dxa"/>
        <w:bottom w:w="58" w:type="dxa"/>
      </w:tblCellMar>
    </w:tblPr>
    <w:tcPr>
      <w:shd w:val="clear" w:color="auto" w:fill="FFFFFF"/>
      <w:vAlign w:val="center"/>
    </w:tcPr>
    <w:tblStylePr w:type="firstRow">
      <w:pPr>
        <w:wordWrap/>
        <w:spacing w:line="240" w:lineRule="auto"/>
      </w:pPr>
      <w:rPr>
        <w:rFonts w:ascii="Calibri" w:hAnsi="Calibri"/>
        <w:b/>
        <w:i w:val="0"/>
        <w:color w:val="FFFFFF"/>
        <w:sz w:val="22"/>
      </w:rPr>
      <w:tblPr/>
      <w:tcPr>
        <w:shd w:val="clear" w:color="auto" w:fill="41788E"/>
      </w:tcPr>
    </w:tblStylePr>
    <w:tblStylePr w:type="firstCol">
      <w:rPr>
        <w:rFonts w:ascii="Calibri" w:hAnsi="Calibri"/>
        <w:b/>
      </w:rPr>
      <w:tblPr/>
      <w:tcPr>
        <w:shd w:val="clear" w:color="auto" w:fill="E5EEEB"/>
      </w:tcPr>
    </w:tblStylePr>
    <w:tblStylePr w:type="nwCell">
      <w:rPr>
        <w:b/>
      </w:rPr>
    </w:tblStylePr>
  </w:style>
  <w:style w:type="paragraph" w:styleId="Footer">
    <w:name w:val="footer"/>
    <w:basedOn w:val="Normal"/>
    <w:link w:val="FooterChar"/>
    <w:uiPriority w:val="99"/>
    <w:unhideWhenUsed/>
    <w:rsid w:val="0051300C"/>
    <w:pPr>
      <w:tabs>
        <w:tab w:val="center" w:pos="4680"/>
        <w:tab w:val="right" w:pos="9360"/>
      </w:tabs>
      <w:spacing w:after="0"/>
    </w:pPr>
  </w:style>
  <w:style w:type="character" w:customStyle="1" w:styleId="FooterChar">
    <w:name w:val="Footer Char"/>
    <w:basedOn w:val="DefaultParagraphFont"/>
    <w:link w:val="Footer"/>
    <w:uiPriority w:val="99"/>
    <w:rsid w:val="0051300C"/>
    <w:rPr>
      <w:rFonts w:eastAsia="Times New Roman" w:cs="Times New Roman"/>
      <w:sz w:val="24"/>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468A8"/>
    <w:pPr>
      <w:ind w:left="720"/>
      <w:contextualSpacing/>
    </w:pPr>
  </w:style>
  <w:style w:type="paragraph" w:customStyle="1" w:styleId="paragraph">
    <w:name w:val="paragraph"/>
    <w:basedOn w:val="Normal"/>
    <w:rsid w:val="00C76292"/>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C76292"/>
  </w:style>
  <w:style w:type="character" w:customStyle="1" w:styleId="eop">
    <w:name w:val="eop"/>
    <w:basedOn w:val="DefaultParagraphFont"/>
    <w:rsid w:val="00C76292"/>
  </w:style>
  <w:style w:type="paragraph" w:styleId="FootnoteText">
    <w:name w:val="footnote text"/>
    <w:basedOn w:val="Normal"/>
    <w:link w:val="FootnoteTextChar"/>
    <w:uiPriority w:val="99"/>
    <w:semiHidden/>
    <w:unhideWhenUsed/>
    <w:rsid w:val="00E723BE"/>
    <w:pPr>
      <w:spacing w:after="0"/>
    </w:pPr>
    <w:rPr>
      <w:sz w:val="20"/>
    </w:rPr>
  </w:style>
  <w:style w:type="character" w:customStyle="1" w:styleId="FootnoteTextChar">
    <w:name w:val="Footnote Text Char"/>
    <w:basedOn w:val="DefaultParagraphFont"/>
    <w:link w:val="FootnoteText"/>
    <w:uiPriority w:val="99"/>
    <w:semiHidden/>
    <w:rsid w:val="00E723BE"/>
    <w:rPr>
      <w:rFonts w:eastAsia="Times New Roman" w:cs="Times New Roman"/>
      <w:sz w:val="20"/>
      <w:szCs w:val="20"/>
    </w:rPr>
  </w:style>
  <w:style w:type="table" w:styleId="TableGrid">
    <w:name w:val="Table Grid"/>
    <w:basedOn w:val="TableNormal"/>
    <w:uiPriority w:val="39"/>
    <w:rsid w:val="006B35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F4FB0"/>
    <w:pPr>
      <w:spacing w:after="200"/>
    </w:pPr>
    <w:rPr>
      <w:i/>
      <w:iCs/>
      <w:color w:val="074976" w:themeColor="text2"/>
      <w:sz w:val="18"/>
      <w:szCs w:val="18"/>
    </w:rPr>
  </w:style>
  <w:style w:type="paragraph" w:styleId="Revision">
    <w:name w:val="Revision"/>
    <w:hidden/>
    <w:uiPriority w:val="99"/>
    <w:semiHidden/>
    <w:rsid w:val="00B6150F"/>
    <w:pPr>
      <w:spacing w:after="0"/>
    </w:pPr>
    <w:rPr>
      <w:rFonts w:eastAsia="Times New Roman" w:cs="Times New Roman"/>
      <w:szCs w:val="20"/>
    </w:rPr>
  </w:style>
  <w:style w:type="character" w:styleId="Hyperlink">
    <w:name w:val="Hyperlink"/>
    <w:basedOn w:val="DefaultParagraphFont"/>
    <w:uiPriority w:val="99"/>
    <w:unhideWhenUsed/>
    <w:rsid w:val="00441083"/>
    <w:rPr>
      <w:color w:val="268276" w:themeColor="hyperlink"/>
      <w:u w:val="single"/>
    </w:rPr>
  </w:style>
  <w:style w:type="character" w:styleId="UnresolvedMention">
    <w:name w:val="Unresolved Mention"/>
    <w:basedOn w:val="DefaultParagraphFont"/>
    <w:uiPriority w:val="99"/>
    <w:semiHidden/>
    <w:unhideWhenUsed/>
    <w:rsid w:val="00441083"/>
    <w:rPr>
      <w:color w:val="605E5C"/>
      <w:shd w:val="clear" w:color="auto" w:fill="E1DFDD"/>
    </w:rPr>
  </w:style>
  <w:style w:type="character" w:styleId="CommentReference">
    <w:name w:val="annotation reference"/>
    <w:basedOn w:val="DefaultParagraphFont"/>
    <w:uiPriority w:val="99"/>
    <w:semiHidden/>
    <w:unhideWhenUsed/>
    <w:rsid w:val="006720C7"/>
    <w:rPr>
      <w:sz w:val="16"/>
      <w:szCs w:val="16"/>
    </w:rPr>
  </w:style>
  <w:style w:type="paragraph" w:styleId="CommentText">
    <w:name w:val="annotation text"/>
    <w:basedOn w:val="Normal"/>
    <w:link w:val="CommentTextChar"/>
    <w:uiPriority w:val="99"/>
    <w:unhideWhenUsed/>
    <w:rsid w:val="006720C7"/>
    <w:rPr>
      <w:sz w:val="20"/>
    </w:rPr>
  </w:style>
  <w:style w:type="character" w:customStyle="1" w:styleId="CommentTextChar">
    <w:name w:val="Comment Text Char"/>
    <w:basedOn w:val="DefaultParagraphFont"/>
    <w:link w:val="CommentText"/>
    <w:uiPriority w:val="99"/>
    <w:rsid w:val="006720C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20C7"/>
    <w:rPr>
      <w:b/>
      <w:bCs/>
    </w:rPr>
  </w:style>
  <w:style w:type="character" w:customStyle="1" w:styleId="CommentSubjectChar">
    <w:name w:val="Comment Subject Char"/>
    <w:basedOn w:val="CommentTextChar"/>
    <w:link w:val="CommentSubject"/>
    <w:uiPriority w:val="99"/>
    <w:semiHidden/>
    <w:rsid w:val="006720C7"/>
    <w:rPr>
      <w:rFonts w:eastAsia="Times New Roman" w:cs="Times New Roman"/>
      <w:b/>
      <w:bCs/>
      <w:sz w:val="20"/>
      <w:szCs w:val="20"/>
    </w:rPr>
  </w:style>
  <w:style w:type="paragraph" w:styleId="NormalWeb">
    <w:name w:val="Normal (Web)"/>
    <w:basedOn w:val="Normal"/>
    <w:uiPriority w:val="99"/>
    <w:semiHidden/>
    <w:unhideWhenUsed/>
    <w:rsid w:val="008B456B"/>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5977">
      <w:bodyDiv w:val="1"/>
      <w:marLeft w:val="0"/>
      <w:marRight w:val="0"/>
      <w:marTop w:val="0"/>
      <w:marBottom w:val="0"/>
      <w:divBdr>
        <w:top w:val="none" w:sz="0" w:space="0" w:color="auto"/>
        <w:left w:val="none" w:sz="0" w:space="0" w:color="auto"/>
        <w:bottom w:val="none" w:sz="0" w:space="0" w:color="auto"/>
        <w:right w:val="none" w:sz="0" w:space="0" w:color="auto"/>
      </w:divBdr>
    </w:div>
    <w:div w:id="160436291">
      <w:bodyDiv w:val="1"/>
      <w:marLeft w:val="0"/>
      <w:marRight w:val="0"/>
      <w:marTop w:val="0"/>
      <w:marBottom w:val="0"/>
      <w:divBdr>
        <w:top w:val="none" w:sz="0" w:space="0" w:color="auto"/>
        <w:left w:val="none" w:sz="0" w:space="0" w:color="auto"/>
        <w:bottom w:val="none" w:sz="0" w:space="0" w:color="auto"/>
        <w:right w:val="none" w:sz="0" w:space="0" w:color="auto"/>
      </w:divBdr>
    </w:div>
    <w:div w:id="258760281">
      <w:bodyDiv w:val="1"/>
      <w:marLeft w:val="0"/>
      <w:marRight w:val="0"/>
      <w:marTop w:val="0"/>
      <w:marBottom w:val="0"/>
      <w:divBdr>
        <w:top w:val="none" w:sz="0" w:space="0" w:color="auto"/>
        <w:left w:val="none" w:sz="0" w:space="0" w:color="auto"/>
        <w:bottom w:val="none" w:sz="0" w:space="0" w:color="auto"/>
        <w:right w:val="none" w:sz="0" w:space="0" w:color="auto"/>
      </w:divBdr>
    </w:div>
    <w:div w:id="502280205">
      <w:bodyDiv w:val="1"/>
      <w:marLeft w:val="0"/>
      <w:marRight w:val="0"/>
      <w:marTop w:val="0"/>
      <w:marBottom w:val="0"/>
      <w:divBdr>
        <w:top w:val="none" w:sz="0" w:space="0" w:color="auto"/>
        <w:left w:val="none" w:sz="0" w:space="0" w:color="auto"/>
        <w:bottom w:val="none" w:sz="0" w:space="0" w:color="auto"/>
        <w:right w:val="none" w:sz="0" w:space="0" w:color="auto"/>
      </w:divBdr>
    </w:div>
    <w:div w:id="653098800">
      <w:bodyDiv w:val="1"/>
      <w:marLeft w:val="0"/>
      <w:marRight w:val="0"/>
      <w:marTop w:val="0"/>
      <w:marBottom w:val="0"/>
      <w:divBdr>
        <w:top w:val="none" w:sz="0" w:space="0" w:color="auto"/>
        <w:left w:val="none" w:sz="0" w:space="0" w:color="auto"/>
        <w:bottom w:val="none" w:sz="0" w:space="0" w:color="auto"/>
        <w:right w:val="none" w:sz="0" w:space="0" w:color="auto"/>
      </w:divBdr>
    </w:div>
    <w:div w:id="709111862">
      <w:bodyDiv w:val="1"/>
      <w:marLeft w:val="0"/>
      <w:marRight w:val="0"/>
      <w:marTop w:val="0"/>
      <w:marBottom w:val="0"/>
      <w:divBdr>
        <w:top w:val="none" w:sz="0" w:space="0" w:color="auto"/>
        <w:left w:val="none" w:sz="0" w:space="0" w:color="auto"/>
        <w:bottom w:val="none" w:sz="0" w:space="0" w:color="auto"/>
        <w:right w:val="none" w:sz="0" w:space="0" w:color="auto"/>
      </w:divBdr>
    </w:div>
    <w:div w:id="780882721">
      <w:bodyDiv w:val="1"/>
      <w:marLeft w:val="0"/>
      <w:marRight w:val="0"/>
      <w:marTop w:val="0"/>
      <w:marBottom w:val="0"/>
      <w:divBdr>
        <w:top w:val="none" w:sz="0" w:space="0" w:color="auto"/>
        <w:left w:val="none" w:sz="0" w:space="0" w:color="auto"/>
        <w:bottom w:val="none" w:sz="0" w:space="0" w:color="auto"/>
        <w:right w:val="none" w:sz="0" w:space="0" w:color="auto"/>
      </w:divBdr>
    </w:div>
    <w:div w:id="1101684435">
      <w:bodyDiv w:val="1"/>
      <w:marLeft w:val="0"/>
      <w:marRight w:val="0"/>
      <w:marTop w:val="0"/>
      <w:marBottom w:val="0"/>
      <w:divBdr>
        <w:top w:val="none" w:sz="0" w:space="0" w:color="auto"/>
        <w:left w:val="none" w:sz="0" w:space="0" w:color="auto"/>
        <w:bottom w:val="none" w:sz="0" w:space="0" w:color="auto"/>
        <w:right w:val="none" w:sz="0" w:space="0" w:color="auto"/>
      </w:divBdr>
    </w:div>
    <w:div w:id="1676877776">
      <w:bodyDiv w:val="1"/>
      <w:marLeft w:val="0"/>
      <w:marRight w:val="0"/>
      <w:marTop w:val="0"/>
      <w:marBottom w:val="0"/>
      <w:divBdr>
        <w:top w:val="none" w:sz="0" w:space="0" w:color="auto"/>
        <w:left w:val="none" w:sz="0" w:space="0" w:color="auto"/>
        <w:bottom w:val="none" w:sz="0" w:space="0" w:color="auto"/>
        <w:right w:val="none" w:sz="0" w:space="0" w:color="auto"/>
      </w:divBdr>
    </w:div>
    <w:div w:id="1797523876">
      <w:bodyDiv w:val="1"/>
      <w:marLeft w:val="0"/>
      <w:marRight w:val="0"/>
      <w:marTop w:val="0"/>
      <w:marBottom w:val="0"/>
      <w:divBdr>
        <w:top w:val="none" w:sz="0" w:space="0" w:color="auto"/>
        <w:left w:val="none" w:sz="0" w:space="0" w:color="auto"/>
        <w:bottom w:val="none" w:sz="0" w:space="0" w:color="auto"/>
        <w:right w:val="none" w:sz="0" w:space="0" w:color="auto"/>
      </w:divBdr>
    </w:div>
    <w:div w:id="2005552008">
      <w:bodyDiv w:val="1"/>
      <w:marLeft w:val="0"/>
      <w:marRight w:val="0"/>
      <w:marTop w:val="0"/>
      <w:marBottom w:val="0"/>
      <w:divBdr>
        <w:top w:val="none" w:sz="0" w:space="0" w:color="auto"/>
        <w:left w:val="none" w:sz="0" w:space="0" w:color="auto"/>
        <w:bottom w:val="none" w:sz="0" w:space="0" w:color="auto"/>
        <w:right w:val="none" w:sz="0" w:space="0" w:color="auto"/>
      </w:divBdr>
    </w:div>
    <w:div w:id="2063864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sgma.water.ca.gov/CalGWLive/" TargetMode="External"/><Relationship Id="rId2" Type="http://schemas.openxmlformats.org/officeDocument/2006/relationships/hyperlink" Target="https://www.waterboards.ca.gov/waterrights/water_issues/programs/stream_gaging_plan/" TargetMode="External"/><Relationship Id="rId1" Type="http://schemas.openxmlformats.org/officeDocument/2006/relationships/hyperlink" Target="https://sgma.water.ca.gov/portal/gsp/preview/86" TargetMode="External"/></Relationships>
</file>

<file path=word/theme/theme1.xml><?xml version="1.0" encoding="utf-8"?>
<a:theme xmlns:a="http://schemas.openxmlformats.org/drawingml/2006/main" name="Office Theme">
  <a:themeElements>
    <a:clrScheme name="Custom 4">
      <a:dk1>
        <a:srgbClr val="268276"/>
      </a:dk1>
      <a:lt1>
        <a:srgbClr val="FFFFFF"/>
      </a:lt1>
      <a:dk2>
        <a:srgbClr val="074976"/>
      </a:dk2>
      <a:lt2>
        <a:srgbClr val="E7E6E6"/>
      </a:lt2>
      <a:accent1>
        <a:srgbClr val="496196"/>
      </a:accent1>
      <a:accent2>
        <a:srgbClr val="41788E"/>
      </a:accent2>
      <a:accent3>
        <a:srgbClr val="C1CFD3"/>
      </a:accent3>
      <a:accent4>
        <a:srgbClr val="D8DFE0"/>
      </a:accent4>
      <a:accent5>
        <a:srgbClr val="5C938F"/>
      </a:accent5>
      <a:accent6>
        <a:srgbClr val="7DAA9E"/>
      </a:accent6>
      <a:hlink>
        <a:srgbClr val="268276"/>
      </a:hlink>
      <a:folHlink>
        <a:srgbClr val="2682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zwdg47JB6TxRmUXOp2sHyIbjA==">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</go:docsCustomData>
</go:gDocsCustomXmlDataStorage>
</file>

<file path=customXml/itemProps1.xml><?xml version="1.0" encoding="utf-8"?>
<ds:datastoreItem xmlns:ds="http://schemas.openxmlformats.org/officeDocument/2006/customXml" ds:itemID="{C68E8421-539F-4248-BE22-ED84631A6A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11</Pages>
  <Words>1857</Words>
  <Characters>10587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Hayleigh Sawdaye</dc:creator>
  <cp:lastModifiedBy>Ryan Fulton</cp:lastModifiedBy>
  <cp:revision>18</cp:revision>
  <dcterms:created xsi:type="dcterms:W3CDTF">2024-10-16T19:55:00Z</dcterms:created>
  <dcterms:modified xsi:type="dcterms:W3CDTF">2024-11-01T20:23:00Z</dcterms:modified>
</cp:coreProperties>
</file>